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347" w:rsidRPr="002F4347" w:rsidRDefault="002F4347" w:rsidP="002F4347">
      <w:pPr>
        <w:shd w:val="clear" w:color="auto" w:fill="FBFBFB"/>
        <w:spacing w:line="240" w:lineRule="auto"/>
        <w:outlineLvl w:val="0"/>
        <w:rPr>
          <w:rFonts w:ascii="inherit" w:eastAsia="Times New Roman" w:hAnsi="inherit" w:cs="Times New Roman"/>
          <w:color w:val="333333"/>
          <w:kern w:val="36"/>
          <w:sz w:val="54"/>
          <w:szCs w:val="54"/>
          <w:lang w:eastAsia="ru-RU"/>
        </w:rPr>
      </w:pPr>
      <w:r w:rsidRPr="002F4347">
        <w:rPr>
          <w:rFonts w:ascii="inherit" w:eastAsia="Times New Roman" w:hAnsi="inherit" w:cs="Times New Roman"/>
          <w:color w:val="333333"/>
          <w:kern w:val="36"/>
          <w:sz w:val="54"/>
          <w:szCs w:val="54"/>
          <w:lang w:eastAsia="ru-RU"/>
        </w:rPr>
        <w:t>ГОСТ 25795-83 </w:t>
      </w:r>
      <w:r w:rsidRPr="002F4347">
        <w:rPr>
          <w:rFonts w:ascii="inherit" w:eastAsia="Times New Roman" w:hAnsi="inherit" w:cs="Times New Roman"/>
          <w:color w:val="333333"/>
          <w:kern w:val="36"/>
          <w:sz w:val="54"/>
          <w:szCs w:val="54"/>
          <w:lang w:eastAsia="ru-RU"/>
        </w:rPr>
        <w:br/>
      </w:r>
      <w:r w:rsidRPr="002F4347">
        <w:rPr>
          <w:rFonts w:ascii="inherit" w:eastAsia="Times New Roman" w:hAnsi="inherit" w:cs="Times New Roman"/>
          <w:color w:val="777777"/>
          <w:kern w:val="36"/>
          <w:sz w:val="35"/>
          <w:szCs w:val="35"/>
          <w:lang w:eastAsia="ru-RU"/>
        </w:rPr>
        <w:t xml:space="preserve">Сырье глинистое в производстве </w:t>
      </w:r>
      <w:proofErr w:type="spellStart"/>
      <w:r w:rsidRPr="002F4347">
        <w:rPr>
          <w:rFonts w:ascii="inherit" w:eastAsia="Times New Roman" w:hAnsi="inherit" w:cs="Times New Roman"/>
          <w:color w:val="777777"/>
          <w:kern w:val="36"/>
          <w:sz w:val="35"/>
          <w:szCs w:val="35"/>
          <w:lang w:eastAsia="ru-RU"/>
        </w:rPr>
        <w:t>глинопорошков</w:t>
      </w:r>
      <w:proofErr w:type="spellEnd"/>
      <w:r w:rsidRPr="002F4347">
        <w:rPr>
          <w:rFonts w:ascii="inherit" w:eastAsia="Times New Roman" w:hAnsi="inherit" w:cs="Times New Roman"/>
          <w:color w:val="777777"/>
          <w:kern w:val="36"/>
          <w:sz w:val="35"/>
          <w:szCs w:val="35"/>
          <w:lang w:eastAsia="ru-RU"/>
        </w:rPr>
        <w:t xml:space="preserve"> для буровых растворов. Технические условия</w:t>
      </w:r>
    </w:p>
    <w:p w:rsidR="002F4347" w:rsidRPr="002F4347" w:rsidRDefault="002F4347" w:rsidP="002F4347">
      <w:pPr>
        <w:shd w:val="clear" w:color="auto" w:fill="FBFBFB"/>
        <w:spacing w:after="150" w:line="300" w:lineRule="atLeast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2F434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Распространяется на глинистое сырье, предназначенное к использованию в производстве </w:t>
      </w:r>
      <w:proofErr w:type="spellStart"/>
      <w:r w:rsidRPr="002F434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глинопорошков</w:t>
      </w:r>
      <w:proofErr w:type="spellEnd"/>
      <w:r w:rsidRPr="002F434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 для приготовления буровых растворов.</w:t>
      </w:r>
    </w:p>
    <w:p w:rsidR="000859EE" w:rsidRDefault="002F4347">
      <w:pPr>
        <w:rPr>
          <w:rFonts w:ascii="Verdana" w:hAnsi="Verdana"/>
          <w:color w:val="333333"/>
          <w:sz w:val="21"/>
          <w:szCs w:val="21"/>
          <w:shd w:val="clear" w:color="auto" w:fill="FBFBFB"/>
        </w:rPr>
      </w:pPr>
      <w:r>
        <w:rPr>
          <w:rFonts w:ascii="Verdana" w:hAnsi="Verdana"/>
          <w:color w:val="333333"/>
          <w:sz w:val="21"/>
          <w:szCs w:val="21"/>
          <w:shd w:val="clear" w:color="auto" w:fill="FBFBFB"/>
        </w:rPr>
        <w:t>Ограничение срока действия снято: Протокол № 4-93 МГС от 21.10.93 (ИУС № 4-94)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ГОСУДАРСТВЕННЫЙ СТАНДАРТ СОЮЗА ССР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СЫРЬЕ ГЛИНИСТОЕ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bookmarkStart w:id="0" w:name="_GoBack"/>
      <w:bookmarkEnd w:id="0"/>
      <w:r>
        <w:rPr>
          <w:rFonts w:ascii="Verdana" w:hAnsi="Verdana"/>
          <w:b/>
          <w:bCs/>
          <w:color w:val="333333"/>
          <w:sz w:val="21"/>
          <w:szCs w:val="21"/>
        </w:rPr>
        <w:br/>
        <w:t>В ПРОИЗВОДСТВЕ ГЛИНОПОРОШКОВ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br/>
        <w:t>ДЛЯ БУРОВЫХ РАСТВОРОВ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ТЕХНИЧЕСКИЕ УСЛОВИЯ</w:t>
      </w:r>
    </w:p>
    <w:p w:rsidR="002F4347" w:rsidRP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sz w:val="21"/>
          <w:szCs w:val="21"/>
        </w:rPr>
      </w:pPr>
      <w:hyperlink r:id="rId4" w:history="1">
        <w:r w:rsidRPr="002F4347">
          <w:rPr>
            <w:rStyle w:val="a4"/>
            <w:rFonts w:ascii="Verdana" w:hAnsi="Verdana"/>
            <w:b/>
            <w:bCs/>
            <w:color w:val="auto"/>
            <w:sz w:val="21"/>
            <w:szCs w:val="21"/>
            <w:u w:val="none"/>
          </w:rPr>
          <w:t>ГОСТ 25795-83</w:t>
        </w:r>
      </w:hyperlink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ГОСУДАРСТВЕННЫЙ КОМИТЕТ СССР ПО СТАНДАРТАМ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br/>
        <w:t>Москва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РАЗРАБОТАН Министерством нефтяной промышленности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ИСПОЛНИТЕЛИ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 xml:space="preserve">Е.Ф. Волков, З.А. </w:t>
      </w:r>
      <w:proofErr w:type="spellStart"/>
      <w:r>
        <w:rPr>
          <w:rFonts w:ascii="Verdana" w:hAnsi="Verdana"/>
          <w:b/>
          <w:bCs/>
          <w:color w:val="333333"/>
          <w:sz w:val="21"/>
          <w:szCs w:val="21"/>
        </w:rPr>
        <w:t>Литяева</w:t>
      </w:r>
      <w:proofErr w:type="spellEnd"/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(руководители темы),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 xml:space="preserve">Н.Д. Лаврова, Л.С. </w:t>
      </w:r>
      <w:proofErr w:type="spellStart"/>
      <w:r>
        <w:rPr>
          <w:rFonts w:ascii="Verdana" w:hAnsi="Verdana"/>
          <w:b/>
          <w:bCs/>
          <w:color w:val="333333"/>
          <w:sz w:val="21"/>
          <w:szCs w:val="21"/>
        </w:rPr>
        <w:t>Пальчикова</w:t>
      </w:r>
      <w:proofErr w:type="spellEnd"/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ВНЕСЕН Министерством нефтяной промышленности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Член Коллегии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 xml:space="preserve">Ю.Н. </w:t>
      </w:r>
      <w:proofErr w:type="spellStart"/>
      <w:r>
        <w:rPr>
          <w:rFonts w:ascii="Verdana" w:hAnsi="Verdana"/>
          <w:b/>
          <w:bCs/>
          <w:color w:val="333333"/>
          <w:sz w:val="21"/>
          <w:szCs w:val="21"/>
        </w:rPr>
        <w:t>Байдиков</w:t>
      </w:r>
      <w:proofErr w:type="spellEnd"/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УТВЕРЖДЕН И ВВЕДЕН В ДЕЙСТВИЕ Постановлением Государственного комитета СССР по стандартам от 24 мая 1983 г. № 2306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ГОСУДАРСТВЕННЫЙ СТАНДАРТ СОЮЗА ССР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1"/>
        <w:gridCol w:w="1070"/>
      </w:tblGrid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rPr>
                <w:b/>
                <w:bCs/>
              </w:rPr>
              <w:t>СЫРЬЕ ГЛИНИСТОЕ В ПРОИЗВОДСТВЕ</w:t>
            </w:r>
            <w:r>
              <w:rPr>
                <w:rStyle w:val="apple-converted-space"/>
                <w:b/>
                <w:bCs/>
              </w:rPr>
              <w:t> </w:t>
            </w:r>
            <w:r>
              <w:rPr>
                <w:b/>
                <w:bCs/>
              </w:rPr>
              <w:br/>
              <w:t>ГЛИНОПОРОШКОВ ДЛЯ БУРОВЫХ РАСТВОРОВ</w:t>
            </w:r>
          </w:p>
          <w:p w:rsidR="002F4347" w:rsidRPr="002F4347" w:rsidRDefault="002F4347">
            <w:pPr>
              <w:pStyle w:val="a3"/>
              <w:spacing w:before="0" w:beforeAutospacing="0" w:after="150" w:afterAutospacing="0"/>
              <w:rPr>
                <w:lang w:val="en-US"/>
              </w:rPr>
            </w:pPr>
            <w:r>
              <w:rPr>
                <w:b/>
                <w:bCs/>
              </w:rPr>
              <w:t>Технические</w:t>
            </w:r>
            <w:r w:rsidRPr="002F4347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условия</w:t>
            </w:r>
          </w:p>
          <w:p w:rsidR="002F4347" w:rsidRDefault="002F4347">
            <w:pPr>
              <w:pStyle w:val="a3"/>
              <w:spacing w:before="0" w:beforeAutospacing="0" w:after="150" w:afterAutospacing="0"/>
            </w:pPr>
            <w:r w:rsidRPr="002F4347">
              <w:rPr>
                <w:lang w:val="en-US"/>
              </w:rPr>
              <w:t>Raw Clay in the Production of Clay Powders</w:t>
            </w:r>
            <w:r w:rsidRPr="002F4347">
              <w:rPr>
                <w:rStyle w:val="apple-converted-space"/>
                <w:lang w:val="en-US"/>
              </w:rPr>
              <w:t> </w:t>
            </w:r>
            <w:r w:rsidRPr="002F4347">
              <w:rPr>
                <w:lang w:val="en-US"/>
              </w:rPr>
              <w:br/>
              <w:t xml:space="preserve">for Drilling Muds. </w:t>
            </w:r>
            <w:proofErr w:type="spellStart"/>
            <w:r>
              <w:t>Specifications</w:t>
            </w:r>
            <w:proofErr w:type="spellEnd"/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rPr>
                <w:b/>
                <w:bCs/>
              </w:rPr>
              <w:t>ГОСТ</w:t>
            </w:r>
            <w:r>
              <w:rPr>
                <w:rStyle w:val="apple-converted-space"/>
                <w:b/>
                <w:bCs/>
              </w:rPr>
              <w:t> </w:t>
            </w:r>
            <w:r>
              <w:rPr>
                <w:b/>
                <w:bCs/>
              </w:rPr>
              <w:br/>
              <w:t>25795-83</w:t>
            </w:r>
          </w:p>
        </w:tc>
      </w:tr>
    </w:tbl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Постановлением Государственного комитета СССР по стандартам от 24 мая 1983 г. № 2306 срок действия установлен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с 01.01.85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до 01.01.90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Несоблюдение стандарта преследуется по закону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Настоящий стандарт распространяется на глинистое сырье (далее по тексту - глина), предназначенное к использованию в производстве </w:t>
      </w:r>
      <w:proofErr w:type="spellStart"/>
      <w:r>
        <w:rPr>
          <w:rFonts w:ascii="Verdana" w:hAnsi="Verdana"/>
          <w:color w:val="333333"/>
          <w:sz w:val="21"/>
          <w:szCs w:val="21"/>
        </w:rPr>
        <w:t>глинопорошков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для приготовления буровых растворов.</w:t>
      </w:r>
    </w:p>
    <w:p w:rsidR="002F4347" w:rsidRDefault="002F4347" w:rsidP="002F4347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lastRenderedPageBreak/>
        <w:t>1. ТИПЫ И МАРКИ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1.1. Глину в зависимости от основного породообразующего минерала подразделяют на следующие типы и марки, указанные в табл. 1.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4"/>
        <w:gridCol w:w="3085"/>
        <w:gridCol w:w="814"/>
      </w:tblGrid>
      <w:tr w:rsidR="002F4347" w:rsidTr="002F4347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Основной породообразующий минерал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Минералогический тип глин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Марка</w:t>
            </w:r>
          </w:p>
        </w:tc>
      </w:tr>
      <w:tr w:rsidR="002F4347" w:rsidTr="002F4347"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Монтмориллонит</w:t>
            </w:r>
          </w:p>
        </w:tc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proofErr w:type="spellStart"/>
            <w:r>
              <w:t>Бентонитовые</w:t>
            </w:r>
            <w:proofErr w:type="spellEnd"/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Б-1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Б-2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Б-3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Б-4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Б-5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Б-6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Б-7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Б-8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Б-9</w:t>
            </w:r>
          </w:p>
        </w:tc>
      </w:tr>
      <w:tr w:rsidR="002F4347" w:rsidTr="002F4347"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proofErr w:type="spellStart"/>
            <w:r>
              <w:t>Палыгорскит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proofErr w:type="spellStart"/>
            <w:r>
              <w:t>Палыгорскитовые</w:t>
            </w:r>
            <w:proofErr w:type="spellEnd"/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П-1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П-2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П-3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П-4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П-5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П-6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П-7</w:t>
            </w:r>
          </w:p>
        </w:tc>
      </w:tr>
      <w:tr w:rsidR="002F4347" w:rsidTr="002F4347"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Минералы группы каолинита и (или) гидрослюды</w:t>
            </w:r>
          </w:p>
        </w:tc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Каолинит-гидрослюдистые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КГ-1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КГ-2</w:t>
            </w:r>
          </w:p>
        </w:tc>
      </w:tr>
      <w:tr w:rsidR="002F4347" w:rsidTr="002F4347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КГ-3</w:t>
            </w:r>
          </w:p>
        </w:tc>
      </w:tr>
    </w:tbl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hyperlink r:id="rId5" w:tooltip="ИУС 5-89" w:history="1">
        <w:r w:rsidRPr="002F4347">
          <w:rPr>
            <w:rStyle w:val="a4"/>
            <w:rFonts w:ascii="Verdana" w:hAnsi="Verdana"/>
            <w:b/>
            <w:bCs/>
            <w:color w:val="auto"/>
            <w:sz w:val="21"/>
            <w:szCs w:val="21"/>
            <w:u w:val="none"/>
          </w:rPr>
          <w:t>Изм. № 1</w:t>
        </w:r>
      </w:hyperlink>
      <w:r>
        <w:rPr>
          <w:rFonts w:ascii="Verdana" w:hAnsi="Verdana"/>
          <w:b/>
          <w:bCs/>
          <w:color w:val="333333"/>
          <w:sz w:val="21"/>
          <w:szCs w:val="21"/>
        </w:rPr>
        <w:t>).</w:t>
      </w:r>
    </w:p>
    <w:p w:rsidR="002F4347" w:rsidRDefault="002F4347" w:rsidP="002F4347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lastRenderedPageBreak/>
        <w:t>2. ТЕХНИЧЕСКИЕ ТРЕБОВАНИЯ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 Глина по физико-химическим показателям должна соответствовать требованиям, указанным в табл. 2 - 3.</w:t>
      </w:r>
    </w:p>
    <w:p w:rsidR="002F4347" w:rsidRDefault="002F4347" w:rsidP="002F4347">
      <w:pPr>
        <w:rPr>
          <w:rFonts w:ascii="Times New Roman" w:hAnsi="Times New Roman"/>
          <w:sz w:val="24"/>
          <w:szCs w:val="24"/>
        </w:rPr>
      </w:pP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779"/>
        <w:gridCol w:w="779"/>
        <w:gridCol w:w="659"/>
        <w:gridCol w:w="650"/>
        <w:gridCol w:w="530"/>
        <w:gridCol w:w="588"/>
        <w:gridCol w:w="650"/>
        <w:gridCol w:w="530"/>
        <w:gridCol w:w="841"/>
        <w:gridCol w:w="1464"/>
      </w:tblGrid>
      <w:tr w:rsidR="002F4347" w:rsidTr="002F4347">
        <w:trPr>
          <w:tblHeader/>
        </w:trPr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Наименование показателя</w:t>
            </w:r>
          </w:p>
        </w:tc>
        <w:tc>
          <w:tcPr>
            <w:tcW w:w="0" w:type="auto"/>
            <w:gridSpan w:val="9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Норма для марки</w:t>
            </w:r>
          </w:p>
        </w:tc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Метод испытания</w:t>
            </w:r>
          </w:p>
        </w:tc>
      </w:tr>
      <w:tr w:rsidR="002F4347" w:rsidTr="002F4347">
        <w:trPr>
          <w:tblHeader/>
        </w:trPr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Б-7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Б-8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Б-9</w:t>
            </w: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Выход глинистого раствора, м</w:t>
            </w:r>
            <w:r>
              <w:rPr>
                <w:sz w:val="16"/>
                <w:szCs w:val="16"/>
                <w:vertAlign w:val="superscript"/>
              </w:rPr>
              <w:t>3</w:t>
            </w:r>
            <w:r>
              <w:t>/т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Более 16,0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Более 16,0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12,0 до 15,5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8,0 до 11,5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5,0 до 7,5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До 4,5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8,0 до 11,5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5,0 до 7,5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Менее 4,5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6" w:tooltip="ГОСТ 25796.1-83 Сырье глинистое в производстве глинопорошков для буровых растворов. Метод определения выхода глинистого раствора" w:history="1">
              <w:r w:rsidRPr="002F4347">
                <w:rPr>
                  <w:rStyle w:val="a4"/>
                  <w:color w:val="auto"/>
                  <w:u w:val="none"/>
                </w:rPr>
                <w:t>ГОСТ 25796.1-83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Показатель модифицируемости, ПМ</w:t>
            </w:r>
            <w:r>
              <w:rPr>
                <w:sz w:val="16"/>
                <w:szCs w:val="16"/>
                <w:vertAlign w:val="subscript"/>
              </w:rPr>
              <w:t>1</w:t>
            </w:r>
            <w:r>
              <w:t>, ПМ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, °, не менее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7" w:tooltip="ГОСТ 25796.5-83 Сырье глинистое в производстве глинопорошков для буровых растворов. Метод определения показателя модифицируемости" w:history="1">
              <w:r w:rsidRPr="002F4347">
                <w:rPr>
                  <w:rStyle w:val="a4"/>
                  <w:color w:val="auto"/>
                  <w:u w:val="none"/>
                </w:rPr>
                <w:t>ГОСТ 25796.5-83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Коэффициент пластичности суспензии, С</w:t>
            </w:r>
            <w:r>
              <w:rPr>
                <w:sz w:val="16"/>
                <w:szCs w:val="16"/>
                <w:vertAlign w:val="superscript"/>
              </w:rPr>
              <w:t>-1</w:t>
            </w:r>
            <w:r>
              <w:t>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1500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8" w:tooltip="ГОСТ 25796.2-83 Сырье глинистое в производстве глинопорошков для буровых растворов. Методы определения свойств суспензии" w:history="1">
              <w:r w:rsidRPr="002F4347">
                <w:rPr>
                  <w:rStyle w:val="a4"/>
                  <w:color w:val="auto"/>
                  <w:u w:val="none"/>
                </w:rPr>
                <w:t>ГОСТ 25796.2-83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Статическое напряжение сдвига суспензии, Па, не менее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9" w:tooltip="ГОСТ 25796.2-83 Сырье глинистое в производстве глинопорошков для буровых растворов. Методы определения свойств суспензии" w:history="1">
              <w:r w:rsidRPr="002F4347">
                <w:rPr>
                  <w:rStyle w:val="a4"/>
                  <w:color w:val="auto"/>
                  <w:u w:val="none"/>
                </w:rPr>
                <w:t>ГОСТ 25796.2-83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Показатель фильтрации, см</w:t>
            </w:r>
            <w:r>
              <w:rPr>
                <w:sz w:val="16"/>
                <w:szCs w:val="16"/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10" w:tooltip="ГОСТ 25796.2-83 Сырье глинистое в производстве глинопорошков для буровых растворов. Методы определения свойств суспензии" w:history="1">
              <w:r w:rsidRPr="002F4347">
                <w:rPr>
                  <w:rStyle w:val="a4"/>
                  <w:color w:val="auto"/>
                  <w:u w:val="none"/>
                </w:rPr>
                <w:t>ГОСТ 25796.2-83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Массовая доля песчаной фракции,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6.0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10,0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10,0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11" w:tooltip="ГОСТ 25796.3-83 Сырье глинистое в производстве глинопорошков для буровых растворов. Метод определения массовой доли песчаной фракции" w:history="1">
              <w:r w:rsidRPr="002F4347">
                <w:rPr>
                  <w:rStyle w:val="a4"/>
                  <w:color w:val="auto"/>
                  <w:u w:val="none"/>
                </w:rPr>
                <w:t>ГОСТ 25796.3-83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 xml:space="preserve">Сумма обменных катионов кальция, магния, натрия и калия, </w:t>
            </w:r>
            <w:proofErr w:type="spellStart"/>
            <w:r>
              <w:t>мг·экв</w:t>
            </w:r>
            <w:proofErr w:type="spellEnd"/>
            <w:r>
              <w:t xml:space="preserve"> на 100 г глины, не менее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60,0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12" w:tooltip="ГОСТ 3594.2-93 Глины формовочные огнеупорные. Метод определения концентрации обменных катионов кальция и магния" w:history="1">
              <w:r w:rsidRPr="002F4347">
                <w:rPr>
                  <w:rStyle w:val="a4"/>
                  <w:color w:val="auto"/>
                  <w:u w:val="none"/>
                </w:rPr>
                <w:t>ГОСТ 3594.2</w:t>
              </w:r>
            </w:hyperlink>
            <w:r w:rsidRPr="002F4347">
              <w:t>-</w:t>
            </w:r>
            <w:proofErr w:type="gramStart"/>
            <w:r w:rsidRPr="002F4347">
              <w:t>77,</w:t>
            </w:r>
            <w:hyperlink r:id="rId13" w:tooltip="ГОСТ 3594.3-93 Глины формовочные огнеупорные. Метод определения концентрации обменных катионов натрия и калия" w:history="1">
              <w:r w:rsidRPr="002F4347">
                <w:rPr>
                  <w:rStyle w:val="a4"/>
                  <w:color w:val="auto"/>
                  <w:u w:val="none"/>
                </w:rPr>
                <w:t>ГОСТ</w:t>
              </w:r>
              <w:proofErr w:type="gramEnd"/>
              <w:r w:rsidRPr="002F4347">
                <w:rPr>
                  <w:rStyle w:val="a4"/>
                  <w:color w:val="auto"/>
                  <w:u w:val="none"/>
                </w:rPr>
                <w:t xml:space="preserve"> 3594.3</w:t>
              </w:r>
            </w:hyperlink>
            <w:r w:rsidRPr="002F4347">
              <w:t>-77</w:t>
            </w:r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Отношение суммы обменных катионов натрия и калия к сумме обменных катионов кальция и магния, не менее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Pr="002F4347" w:rsidRDefault="002F4347">
            <w:pPr>
              <w:pStyle w:val="a3"/>
              <w:spacing w:before="0" w:beforeAutospacing="0" w:after="150" w:afterAutospacing="0"/>
            </w:pPr>
            <w:r w:rsidRPr="002F4347">
              <w:t>По</w:t>
            </w:r>
            <w:r w:rsidRPr="002F4347">
              <w:rPr>
                <w:rStyle w:val="apple-converted-space"/>
              </w:rPr>
              <w:t> </w:t>
            </w:r>
            <w:hyperlink r:id="rId14" w:tooltip="ГОСТ 3594.2-93 Глины формовочные огнеупорные. Метод определения концентрации обменных катионов кальция и магния" w:history="1">
              <w:r w:rsidRPr="002F4347">
                <w:rPr>
                  <w:rStyle w:val="a4"/>
                  <w:color w:val="auto"/>
                  <w:u w:val="none"/>
                </w:rPr>
                <w:t>ГОСТ 3594.2</w:t>
              </w:r>
            </w:hyperlink>
            <w:r w:rsidRPr="002F4347">
              <w:t>-</w:t>
            </w:r>
            <w:proofErr w:type="gramStart"/>
            <w:r w:rsidRPr="002F4347">
              <w:t>77,</w:t>
            </w:r>
            <w:hyperlink r:id="rId15" w:tooltip="ГОСТ 3594.3-93 Глины формовочные огнеупорные. Метод определения концентрации обменных катионов натрия и калия" w:history="1">
              <w:r w:rsidRPr="002F4347">
                <w:rPr>
                  <w:rStyle w:val="a4"/>
                  <w:color w:val="auto"/>
                  <w:u w:val="none"/>
                </w:rPr>
                <w:t>ГОСТ</w:t>
              </w:r>
              <w:proofErr w:type="gramEnd"/>
              <w:r w:rsidRPr="002F4347">
                <w:rPr>
                  <w:rStyle w:val="a4"/>
                  <w:color w:val="auto"/>
                  <w:u w:val="none"/>
                </w:rPr>
                <w:t xml:space="preserve"> 3594.3</w:t>
              </w:r>
            </w:hyperlink>
            <w:r w:rsidRPr="002F4347">
              <w:t>-77</w:t>
            </w:r>
          </w:p>
        </w:tc>
      </w:tr>
    </w:tbl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hyperlink r:id="rId16" w:tooltip="ИУС 5-89" w:history="1">
        <w:r w:rsidRPr="002F4347">
          <w:rPr>
            <w:rStyle w:val="a4"/>
            <w:rFonts w:ascii="Verdana" w:hAnsi="Verdana"/>
            <w:b/>
            <w:bCs/>
            <w:color w:val="auto"/>
            <w:sz w:val="21"/>
            <w:szCs w:val="21"/>
            <w:u w:val="none"/>
          </w:rPr>
          <w:t>Изм. № 1</w:t>
        </w:r>
      </w:hyperlink>
      <w:r>
        <w:rPr>
          <w:rFonts w:ascii="Verdana" w:hAnsi="Verdana"/>
          <w:b/>
          <w:bCs/>
          <w:color w:val="333333"/>
          <w:sz w:val="21"/>
          <w:szCs w:val="21"/>
        </w:rPr>
        <w:t>).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2"/>
        <w:gridCol w:w="777"/>
        <w:gridCol w:w="704"/>
        <w:gridCol w:w="704"/>
        <w:gridCol w:w="690"/>
        <w:gridCol w:w="570"/>
        <w:gridCol w:w="491"/>
        <w:gridCol w:w="491"/>
        <w:gridCol w:w="560"/>
        <w:gridCol w:w="639"/>
        <w:gridCol w:w="855"/>
        <w:gridCol w:w="1377"/>
      </w:tblGrid>
      <w:tr w:rsidR="002F4347" w:rsidTr="002F4347">
        <w:trPr>
          <w:tblHeader/>
        </w:trPr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lastRenderedPageBreak/>
              <w:t>Наименование показателя</w:t>
            </w:r>
          </w:p>
        </w:tc>
        <w:tc>
          <w:tcPr>
            <w:tcW w:w="0" w:type="auto"/>
            <w:gridSpan w:val="10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Норма для марки</w:t>
            </w:r>
          </w:p>
        </w:tc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Метод испытания</w:t>
            </w:r>
          </w:p>
        </w:tc>
      </w:tr>
      <w:tr w:rsidR="002F4347" w:rsidTr="002F4347">
        <w:trPr>
          <w:tblHeader/>
        </w:trPr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П-7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КГ-1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КГ-2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КГ-3</w:t>
            </w: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2F4347" w:rsidRDefault="002F4347">
            <w:pPr>
              <w:rPr>
                <w:sz w:val="24"/>
                <w:szCs w:val="24"/>
              </w:rPr>
            </w:pPr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Выход глинистого раствора, м</w:t>
            </w:r>
            <w:r>
              <w:rPr>
                <w:sz w:val="16"/>
                <w:szCs w:val="16"/>
                <w:vertAlign w:val="superscript"/>
              </w:rPr>
              <w:t>3</w:t>
            </w:r>
            <w:r>
              <w:t>/т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Более 20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16,0 до 19,5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12,0 до 15,5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8,0 до 11,5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5,0 до 7,5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До 4,5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До 4,5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От 4,0 до 6,5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Менее 3,5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17" w:tooltip="ГОСТ 25796.1-83 Сырье глинистое в производстве глинопорошков для буровых растворов. Метод определения выхода глинистого раствора" w:history="1">
              <w:r w:rsidRPr="002F4347">
                <w:rPr>
                  <w:rStyle w:val="a4"/>
                  <w:color w:val="auto"/>
                  <w:u w:val="none"/>
                </w:rPr>
                <w:t>ГОСТ 25796.1-83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Массовая доля песчаной фракции,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18" w:tooltip="ГОСТ 25796.3-83 Сырье глинистое в производстве глинопорошков для буровых растворов. Метод определения массовой доли песчаной фракции" w:history="1">
              <w:r w:rsidRPr="002F4347">
                <w:rPr>
                  <w:rStyle w:val="a4"/>
                  <w:color w:val="auto"/>
                  <w:u w:val="none"/>
                </w:rPr>
                <w:t>ГОСТ 25796.3-83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Седиментация суспензии, %, не более</w:t>
            </w:r>
          </w:p>
        </w:tc>
        <w:tc>
          <w:tcPr>
            <w:tcW w:w="0" w:type="auto"/>
            <w:gridSpan w:val="7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Не допускается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19" w:tooltip="ГОСТ 25796.4-83 Сырье глинистое в производстве глинопорошков для буровых растворов. Метод определения показателя седиментации суспензии" w:history="1">
              <w:r w:rsidRPr="002F4347">
                <w:rPr>
                  <w:rStyle w:val="a4"/>
                  <w:color w:val="auto"/>
                  <w:u w:val="none"/>
                </w:rPr>
                <w:t>ГОСТ 25796.4-83</w:t>
              </w:r>
            </w:hyperlink>
          </w:p>
        </w:tc>
      </w:tr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Показатель модифицируемости ПМ</w:t>
            </w:r>
            <w:r>
              <w:rPr>
                <w:sz w:val="16"/>
                <w:szCs w:val="16"/>
                <w:vertAlign w:val="subscript"/>
              </w:rPr>
              <w:t>3</w:t>
            </w:r>
            <w:r>
              <w:t>, градус, не менее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80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20" w:tooltip="ГОСТ 25796.5-83 Сырье глинистое в производстве глинопорошков для буровых растворов. Метод определения показателя модифицируемости" w:history="1">
              <w:r w:rsidRPr="002F4347">
                <w:rPr>
                  <w:rStyle w:val="a4"/>
                  <w:color w:val="auto"/>
                  <w:u w:val="none"/>
                </w:rPr>
                <w:t>ГОСТ 25796.5-83</w:t>
              </w:r>
            </w:hyperlink>
          </w:p>
        </w:tc>
      </w:tr>
    </w:tbl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(Новая редакция,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hyperlink r:id="rId21" w:tooltip="ИУС 5-89" w:history="1">
        <w:r w:rsidRPr="002F4347">
          <w:rPr>
            <w:rStyle w:val="a4"/>
            <w:rFonts w:ascii="Verdana" w:hAnsi="Verdana"/>
            <w:b/>
            <w:bCs/>
            <w:color w:val="auto"/>
            <w:sz w:val="21"/>
            <w:szCs w:val="21"/>
            <w:u w:val="none"/>
          </w:rPr>
          <w:t>Изм. № 1</w:t>
        </w:r>
      </w:hyperlink>
      <w:r>
        <w:rPr>
          <w:rFonts w:ascii="Verdana" w:hAnsi="Verdana"/>
          <w:b/>
          <w:bCs/>
          <w:color w:val="333333"/>
          <w:sz w:val="21"/>
          <w:szCs w:val="21"/>
        </w:rPr>
        <w:t>).</w:t>
      </w:r>
    </w:p>
    <w:p w:rsidR="002F4347" w:rsidRDefault="002F4347" w:rsidP="002F4347">
      <w:pPr>
        <w:rPr>
          <w:rFonts w:ascii="Times New Roman" w:hAnsi="Times New Roman"/>
          <w:sz w:val="24"/>
          <w:szCs w:val="24"/>
        </w:rPr>
      </w:pP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2.2. По степени воздействия на организм человека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22" w:history="1">
        <w:r w:rsidRPr="002F4347">
          <w:rPr>
            <w:rStyle w:val="a4"/>
            <w:rFonts w:ascii="Verdana" w:hAnsi="Verdana"/>
            <w:color w:val="auto"/>
            <w:sz w:val="21"/>
            <w:szCs w:val="21"/>
            <w:u w:val="none"/>
          </w:rPr>
          <w:t>ГОСТ 12.1.077-76</w:t>
        </w:r>
      </w:hyperlink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 xml:space="preserve">глина относится к малоопасным вредным веществам 4-го класса. Глина не образует токсичных соединений в воздушной среде. Глина </w:t>
      </w:r>
      <w:proofErr w:type="spellStart"/>
      <w:r>
        <w:rPr>
          <w:rFonts w:ascii="Verdana" w:hAnsi="Verdana"/>
          <w:color w:val="333333"/>
          <w:sz w:val="21"/>
          <w:szCs w:val="21"/>
        </w:rPr>
        <w:t>пожаро</w:t>
      </w:r>
      <w:proofErr w:type="spellEnd"/>
      <w:r>
        <w:rPr>
          <w:rFonts w:ascii="Verdana" w:hAnsi="Verdana"/>
          <w:color w:val="333333"/>
          <w:sz w:val="21"/>
          <w:szCs w:val="21"/>
        </w:rPr>
        <w:t>- и взрывобезопасна.</w:t>
      </w:r>
    </w:p>
    <w:p w:rsidR="002F4347" w:rsidRDefault="002F4347" w:rsidP="002F4347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3. ПРАВИЛА ПРИЕМКИ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3.1. Глину принимают партиями. Партией считают количество глины одного месторождения, одной марки, оформленное одним документом о качестве, в котором должны быть указаны: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предприятия-поставщика и его товарный знак;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и марка продукции;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и дата выдачи документа;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результаты испытаний;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масса партии нетто;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партии;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дата отгрузки;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обозначение настоящего стандарта.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3.2. Для проверки качества глины от партии отбирают объединенную пробу массой не менее 15 кг.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3.3. При несоответствии результатов испытаний требованиям настоящего стандарта хотя бы по одному из показателей проводится повторное испытание по этому показателю на удвоенной объединенной пробе, отобранной от той же партии.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Результаты повторных испытаний распространяются на всю партию.</w:t>
      </w:r>
    </w:p>
    <w:p w:rsidR="002F4347" w:rsidRDefault="002F4347" w:rsidP="002F4347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lastRenderedPageBreak/>
        <w:t>4. ОТБОР И ПОДГОТОВКА ПРОБ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4.1. От глины отбирают щупом из разных точек, расположенных на расстоянии не менее 2 м, точечные пробы массой не менее 0,3 кг и не более 0,6 кг.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4.2. Отобранные точечные пробы измельчают до размера кусков менее 10 мм. Объединенную пробу, состоящую из точечных проб, тщательно перемешивают и методом </w:t>
      </w:r>
      <w:proofErr w:type="spellStart"/>
      <w:r>
        <w:rPr>
          <w:rFonts w:ascii="Verdana" w:hAnsi="Verdana"/>
          <w:color w:val="333333"/>
          <w:sz w:val="21"/>
          <w:szCs w:val="21"/>
        </w:rPr>
        <w:t>квартования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сокращают до средней пробы массой не менее 3 кг.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4.3. Среднюю пробу делят на две равные части, одну из которых направляют в лабораторию для проведения испытаний, другую упаковывают в полиэтиленовый пакет, опечатывают и хранят в специально отведенном месте в течение 2 мес. на случай разногласий, возникших при определении качества глины.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 полиэтиленовом пакете должны быть указаны: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предприятия-поставщика;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марка глины;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партии;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дата отбора проб;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должность и фамилия лиц, проводивших отбор проб.</w:t>
      </w:r>
    </w:p>
    <w:p w:rsidR="002F4347" w:rsidRDefault="002F4347" w:rsidP="002F4347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5. ТРАНСПОРТИРОВАНИЕ И ХРАНЕНИЕ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5.1. Глину транспортируют всеми видами транспорта в соответствии с правилами перевозки грузов, действующими на каждом виде транспорта. По железным дорогам глину транспортируют на открытом подвижном составе с соблюдением условий погрузки и крепления грузов, утвержденных Министерством путей сообщения. В холодный период года глину перевозят с соблюдением правил транспортирования смерзающихся грузов.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5.2. Глина должна храниться раздельно по маркам в условиях, исключающих загрязнение посторонними примесями.</w:t>
      </w:r>
    </w:p>
    <w:p w:rsidR="002F4347" w:rsidRDefault="002F4347" w:rsidP="002F4347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СОДЕРЖАНИЕ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7"/>
      </w:tblGrid>
      <w:tr w:rsidR="002F4347" w:rsidTr="002F4347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F4347" w:rsidRDefault="002F4347">
            <w:pPr>
              <w:pStyle w:val="a3"/>
              <w:spacing w:before="0" w:beforeAutospacing="0" w:after="150" w:afterAutospacing="0"/>
            </w:pPr>
            <w:r>
              <w:t>1. Типы и марки. 1</w:t>
            </w:r>
          </w:p>
          <w:p w:rsidR="002F4347" w:rsidRDefault="002F4347">
            <w:pPr>
              <w:pStyle w:val="a3"/>
              <w:spacing w:before="0" w:beforeAutospacing="0" w:after="150" w:afterAutospacing="0"/>
            </w:pPr>
            <w:r>
              <w:t>2. Технические требования. 2</w:t>
            </w:r>
          </w:p>
          <w:p w:rsidR="002F4347" w:rsidRDefault="002F4347">
            <w:pPr>
              <w:pStyle w:val="a3"/>
              <w:spacing w:before="0" w:beforeAutospacing="0" w:after="150" w:afterAutospacing="0"/>
            </w:pPr>
            <w:r>
              <w:t>3. Правила приемки. 2</w:t>
            </w:r>
          </w:p>
          <w:p w:rsidR="002F4347" w:rsidRDefault="002F4347">
            <w:pPr>
              <w:pStyle w:val="a3"/>
              <w:spacing w:before="0" w:beforeAutospacing="0" w:after="150" w:afterAutospacing="0"/>
            </w:pPr>
            <w:r>
              <w:t>4. Отбор и подготовка проб. 2</w:t>
            </w:r>
          </w:p>
          <w:p w:rsidR="002F4347" w:rsidRDefault="002F4347">
            <w:pPr>
              <w:pStyle w:val="a3"/>
              <w:spacing w:before="0" w:beforeAutospacing="0" w:after="150" w:afterAutospacing="0"/>
            </w:pPr>
            <w:r>
              <w:t>5. Транспортирование и хранение. 2</w:t>
            </w:r>
          </w:p>
        </w:tc>
      </w:tr>
    </w:tbl>
    <w:p w:rsidR="002F4347" w:rsidRDefault="002F4347"/>
    <w:sectPr w:rsidR="002F4347" w:rsidSect="002F43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51B"/>
    <w:rsid w:val="000859EE"/>
    <w:rsid w:val="002F4347"/>
    <w:rsid w:val="0086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FF614-DAD9-4DF0-B404-52CDB8AF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43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43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43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2F4347"/>
  </w:style>
  <w:style w:type="paragraph" w:styleId="a3">
    <w:name w:val="Normal (Web)"/>
    <w:basedOn w:val="a"/>
    <w:uiPriority w:val="99"/>
    <w:semiHidden/>
    <w:unhideWhenUsed/>
    <w:rsid w:val="002F4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F434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2F4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2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8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9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ndartgost.ru/gost/by_pkey/14294828617" TargetMode="External"/><Relationship Id="rId13" Type="http://schemas.openxmlformats.org/officeDocument/2006/relationships/hyperlink" Target="http://standartgost.ru/gost/by_pkey/14294847389" TargetMode="External"/><Relationship Id="rId18" Type="http://schemas.openxmlformats.org/officeDocument/2006/relationships/hyperlink" Target="http://standartgost.ru/gost/by_pkey/1429482861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tandartgost.ru/gost/by_pkey/04294853949" TargetMode="External"/><Relationship Id="rId7" Type="http://schemas.openxmlformats.org/officeDocument/2006/relationships/hyperlink" Target="http://standartgost.ru/gost/by_pkey/14294828614" TargetMode="External"/><Relationship Id="rId12" Type="http://schemas.openxmlformats.org/officeDocument/2006/relationships/hyperlink" Target="http://standartgost.ru/gost/by_pkey/14294847390" TargetMode="External"/><Relationship Id="rId17" Type="http://schemas.openxmlformats.org/officeDocument/2006/relationships/hyperlink" Target="http://standartgost.ru/gost/by_pkey/1429482861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tandartgost.ru/gost/by_pkey/04294853949" TargetMode="External"/><Relationship Id="rId20" Type="http://schemas.openxmlformats.org/officeDocument/2006/relationships/hyperlink" Target="http://standartgost.ru/gost/by_pkey/14294828614" TargetMode="External"/><Relationship Id="rId1" Type="http://schemas.openxmlformats.org/officeDocument/2006/relationships/styles" Target="styles.xml"/><Relationship Id="rId6" Type="http://schemas.openxmlformats.org/officeDocument/2006/relationships/hyperlink" Target="http://standartgost.ru/gost/by_pkey/14294828618" TargetMode="External"/><Relationship Id="rId11" Type="http://schemas.openxmlformats.org/officeDocument/2006/relationships/hyperlink" Target="http://standartgost.ru/gost/by_pkey/14294828616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standartgost.ru/gost/by_pkey/04294853949" TargetMode="External"/><Relationship Id="rId15" Type="http://schemas.openxmlformats.org/officeDocument/2006/relationships/hyperlink" Target="http://standartgost.ru/gost/by_pkey/1429484738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standartgost.ru/gost/by_pkey/14294828617" TargetMode="External"/><Relationship Id="rId19" Type="http://schemas.openxmlformats.org/officeDocument/2006/relationships/hyperlink" Target="http://standartgost.ru/gost/by_pkey/14294828615" TargetMode="External"/><Relationship Id="rId4" Type="http://schemas.openxmlformats.org/officeDocument/2006/relationships/hyperlink" Target="http://standartgost.ru/g/%D0%93%D0%9E%D0%A1%D0%A2_25795-83" TargetMode="External"/><Relationship Id="rId9" Type="http://schemas.openxmlformats.org/officeDocument/2006/relationships/hyperlink" Target="http://standartgost.ru/gost/by_pkey/14294828617" TargetMode="External"/><Relationship Id="rId14" Type="http://schemas.openxmlformats.org/officeDocument/2006/relationships/hyperlink" Target="http://standartgost.ru/gost/by_pkey/14294847390" TargetMode="External"/><Relationship Id="rId22" Type="http://schemas.openxmlformats.org/officeDocument/2006/relationships/hyperlink" Target="http://standartgost.ru/g/%D0%93%D0%9E%D0%A1%D0%A2_12.1.077-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1389</Words>
  <Characters>7920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2015-04-06T06:54:00Z</dcterms:created>
  <dcterms:modified xsi:type="dcterms:W3CDTF">2015-04-06T06:57:00Z</dcterms:modified>
</cp:coreProperties>
</file>