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143" w:rsidRPr="00E40143" w:rsidRDefault="00E40143" w:rsidP="00E40143">
      <w:pPr>
        <w:shd w:val="clear" w:color="auto" w:fill="FBFBFB"/>
        <w:spacing w:line="240" w:lineRule="auto"/>
        <w:outlineLvl w:val="0"/>
        <w:rPr>
          <w:rFonts w:ascii="inherit" w:eastAsia="Times New Roman" w:hAnsi="inherit" w:cs="Times New Roman"/>
          <w:color w:val="333333"/>
          <w:kern w:val="36"/>
          <w:sz w:val="54"/>
          <w:szCs w:val="54"/>
          <w:lang w:eastAsia="ru-RU"/>
        </w:rPr>
      </w:pPr>
      <w:r w:rsidRPr="00E40143">
        <w:rPr>
          <w:rFonts w:ascii="inherit" w:eastAsia="Times New Roman" w:hAnsi="inherit" w:cs="Times New Roman"/>
          <w:color w:val="333333"/>
          <w:kern w:val="36"/>
          <w:sz w:val="54"/>
          <w:szCs w:val="54"/>
          <w:lang w:eastAsia="ru-RU"/>
        </w:rPr>
        <w:t>ГОСТ 22551-77 </w:t>
      </w:r>
      <w:r w:rsidRPr="00E40143">
        <w:rPr>
          <w:rFonts w:ascii="inherit" w:eastAsia="Times New Roman" w:hAnsi="inherit" w:cs="Times New Roman"/>
          <w:color w:val="333333"/>
          <w:kern w:val="36"/>
          <w:sz w:val="54"/>
          <w:szCs w:val="54"/>
          <w:lang w:eastAsia="ru-RU"/>
        </w:rPr>
        <w:br/>
      </w:r>
      <w:r w:rsidRPr="00E40143">
        <w:rPr>
          <w:rFonts w:ascii="inherit" w:eastAsia="Times New Roman" w:hAnsi="inherit" w:cs="Times New Roman"/>
          <w:color w:val="777777"/>
          <w:kern w:val="36"/>
          <w:sz w:val="35"/>
          <w:szCs w:val="35"/>
          <w:lang w:eastAsia="ru-RU"/>
        </w:rPr>
        <w:t>Песок кварцевый, молотые песчаник, кварцит и жильный кварц для стекольной промышленности. Технические условия</w:t>
      </w:r>
    </w:p>
    <w:p w:rsidR="00E40143" w:rsidRPr="00E40143" w:rsidRDefault="00E40143" w:rsidP="00E40143">
      <w:pPr>
        <w:shd w:val="clear" w:color="auto" w:fill="FBFBFB"/>
        <w:spacing w:after="150" w:line="300" w:lineRule="atLeast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E401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Распространяется на кварцевый песок, молотые песчаник, кварцит и жильный кварц, предназначенные для стекольной промышленности.</w:t>
      </w:r>
    </w:p>
    <w:p w:rsidR="00713FDE" w:rsidRDefault="00E40143">
      <w:pPr>
        <w:rPr>
          <w:rFonts w:ascii="Verdana" w:hAnsi="Verdana"/>
          <w:color w:val="333333"/>
          <w:sz w:val="21"/>
          <w:szCs w:val="21"/>
          <w:shd w:val="clear" w:color="auto" w:fill="FBFBFB"/>
        </w:rPr>
      </w:pPr>
      <w:r>
        <w:rPr>
          <w:rFonts w:ascii="Verdana" w:hAnsi="Verdana"/>
          <w:color w:val="333333"/>
          <w:sz w:val="21"/>
          <w:szCs w:val="21"/>
          <w:shd w:val="clear" w:color="auto" w:fill="FBFBFB"/>
        </w:rPr>
        <w:t>Введен впервые Переиздание (май 1997 г.) Ограничение срока действия снято: Постановление Госстандарта № 1401 от 29.08.91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ГОСУДАРСТВЕННЫЙ СТАНДАРТ СОЮЗА ССР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ПЕСОК КВАРЦЕВЫЙ,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br/>
        <w:t>МОЛОТЫЕ ПЕСЧАНИК,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br/>
        <w:t>КВАРЦИТ И ЖИЛЬНЫЙ КВАРЦ ДЛЯ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br/>
        <w:t>СТЕКОЛЬНОЙ ПРОМЫШЛЕННОСТИ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ТЕХНИЧЕСКИЕ УСЛОВИЯ</w:t>
      </w:r>
      <w:bookmarkStart w:id="0" w:name="_GoBack"/>
      <w:bookmarkEnd w:id="0"/>
    </w:p>
    <w:p w:rsidR="00E40143" w:rsidRPr="00037702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sz w:val="21"/>
          <w:szCs w:val="21"/>
        </w:rPr>
      </w:pPr>
      <w:hyperlink r:id="rId4" w:history="1">
        <w:r w:rsidRPr="00037702">
          <w:rPr>
            <w:rStyle w:val="a4"/>
            <w:rFonts w:ascii="Verdana" w:hAnsi="Verdana"/>
            <w:b/>
            <w:bCs/>
            <w:color w:val="auto"/>
            <w:sz w:val="21"/>
            <w:szCs w:val="21"/>
            <w:u w:val="none"/>
          </w:rPr>
          <w:t>ГОСТ 22551-77</w:t>
        </w:r>
      </w:hyperlink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ИПК ИЗДАТЕЛЬСТВО СТАНДАРТОВ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br/>
        <w:t>Москва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ГОСУДАРСТВЕННЫЙ СТАНДАРТ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СОЮЗА ССР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5"/>
        <w:gridCol w:w="1070"/>
      </w:tblGrid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ПЕСОК КВАРЦЕВЫЙ, МОЛОТЫЕ ПЕСЧАНИК,</w:t>
            </w:r>
            <w:r>
              <w:rPr>
                <w:rStyle w:val="apple-converted-space"/>
              </w:rPr>
              <w:t> </w:t>
            </w:r>
            <w:r>
              <w:br/>
              <w:t>КВАРЦИТ И ЖИЛЬНЫЙ КВАРЦ</w:t>
            </w:r>
            <w:r>
              <w:rPr>
                <w:rStyle w:val="apple-converted-space"/>
              </w:rPr>
              <w:t> </w:t>
            </w:r>
            <w:r>
              <w:br/>
              <w:t>ДЛЯ СТЕКОЛЬНОЙ ПРОМЫШЛЕННОСТИ</w:t>
            </w:r>
          </w:p>
          <w:p w:rsidR="00E40143" w:rsidRPr="00E40143" w:rsidRDefault="00E40143">
            <w:pPr>
              <w:pStyle w:val="a3"/>
              <w:spacing w:before="0" w:beforeAutospacing="0" w:after="150" w:afterAutospacing="0"/>
              <w:rPr>
                <w:lang w:val="en-US"/>
              </w:rPr>
            </w:pPr>
            <w:r>
              <w:t>Технические</w:t>
            </w:r>
            <w:r w:rsidRPr="00E40143">
              <w:rPr>
                <w:lang w:val="en-US"/>
              </w:rPr>
              <w:t xml:space="preserve"> </w:t>
            </w:r>
            <w:r>
              <w:t>условия</w:t>
            </w:r>
          </w:p>
          <w:p w:rsidR="00E40143" w:rsidRDefault="00E40143">
            <w:pPr>
              <w:pStyle w:val="a3"/>
              <w:spacing w:before="0" w:beforeAutospacing="0" w:after="150" w:afterAutospacing="0"/>
            </w:pPr>
            <w:r w:rsidRPr="00E40143">
              <w:rPr>
                <w:lang w:val="en-US"/>
              </w:rPr>
              <w:t>Quartz sand, ground sandstone, quartzite and</w:t>
            </w:r>
            <w:r w:rsidRPr="00E40143">
              <w:rPr>
                <w:rStyle w:val="apple-converted-space"/>
                <w:lang w:val="en-US"/>
              </w:rPr>
              <w:t> </w:t>
            </w:r>
            <w:r w:rsidRPr="00E40143">
              <w:rPr>
                <w:lang w:val="en-US"/>
              </w:rPr>
              <w:br/>
              <w:t xml:space="preserve">veiny quartz for glass industry. </w:t>
            </w:r>
            <w:proofErr w:type="spellStart"/>
            <w:r>
              <w:t>Specifications</w:t>
            </w:r>
            <w:proofErr w:type="spellEnd"/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ГОСТ</w:t>
            </w:r>
            <w:r>
              <w:rPr>
                <w:rStyle w:val="apple-converted-space"/>
              </w:rPr>
              <w:t> </w:t>
            </w:r>
            <w:r>
              <w:br/>
              <w:t>22551-77</w:t>
            </w:r>
          </w:p>
        </w:tc>
      </w:tr>
    </w:tbl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Дата введения 01.01.79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Настоящий стандарт распространяется на кварцевый песок, молотые песчаник, кварцит и жильный кварц, предназначенные для стекольной промышленности.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2, 3).</w:t>
      </w:r>
    </w:p>
    <w:p w:rsidR="00E40143" w:rsidRDefault="00E40143" w:rsidP="00E40143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1. МАРКИ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1.1. В зависимости от физико-химического состава кварцевый песок, молотые песчаник, кварцит и жильный кварц выпускают следующих марок, указанных в табл. 1.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1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3230"/>
        <w:gridCol w:w="6246"/>
      </w:tblGrid>
      <w:tr w:rsidR="00E40143" w:rsidTr="00E40143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lastRenderedPageBreak/>
              <w:t>Марка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Наименование и характеристика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Преимущественная область применения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ООВС-010-В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proofErr w:type="gramStart"/>
            <w:r>
              <w:t>Кварцевый песок и жильный кварц</w:t>
            </w:r>
            <w:proofErr w:type="gramEnd"/>
            <w:r>
              <w:t xml:space="preserve"> обогащенные высшего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оптического стекла, работающего в малой толщине, свинцового хрусталя, художественных изделий, увиолевого стекла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ООВС-015-1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proofErr w:type="gramStart"/>
            <w:r>
              <w:t>Кварцевый песок и жильный кварц</w:t>
            </w:r>
            <w:proofErr w:type="gramEnd"/>
            <w:r>
              <w:t xml:space="preserve"> 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 xml:space="preserve">Для производства светотехнического увиолевого стекла, </w:t>
            </w:r>
            <w:proofErr w:type="spellStart"/>
            <w:r>
              <w:t>бессвинцового</w:t>
            </w:r>
            <w:proofErr w:type="spellEnd"/>
            <w:r>
              <w:t xml:space="preserve"> хрусталя, цветных и бесцветных изделий из сортового стекла ручной выработки и выдувных изделий механизированной выработки, художественных изделий, особо чистых силикатов натрия (катализаторов).</w:t>
            </w:r>
          </w:p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Допускается по согласованию с потребителем для производства свинцового хрусталя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 и жильный кварц обогащенные или необогащенные высшего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светотехнического и сигнального стекла, сортовой посуды, прессованных изделий механизированной выработки «</w:t>
            </w:r>
            <w:proofErr w:type="spellStart"/>
            <w:r>
              <w:t>дюралекс</w:t>
            </w:r>
            <w:proofErr w:type="spellEnd"/>
            <w:r>
              <w:t>», силикатов натрия (катализаторов)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ОВС-025-1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proofErr w:type="gramStart"/>
            <w:r>
              <w:t>Кварцевый песок и жильный кварц</w:t>
            </w:r>
            <w:proofErr w:type="gramEnd"/>
            <w:r>
              <w:t xml:space="preserve"> 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стеклоизделий электронной техники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ОВС-025-1А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 и жильный кварц обогащенные или необогащенные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светотехнического сигнального стекла, стеклянной посуды, прессованных цветных изделий, силикатов натрия (катализаторов)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 и жильный кварц обогащенные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стеклоизделий электронной техники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ВС-0З0-В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или необогащенные высшего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листового технического стекла, автомобильного стекла, стеклоблоков, витрин, проката, стекловолокна для специальных изделий, лабораторного, медицинского, парфюмерного стекла, стеклоизделий для электронной техники; консервной тары и бутылок из обесцвеченного стекла; сортовой посуды, прессованной, светотехнического и сигнального стекла, силикатов натрия (катализаторов)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ВС-040-1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кварцит и жильный кварц обогащенные или необогащенные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листового, оконного и технического стекла, лабораторного, медицинского и парфюмерного стекла, стекловолокна для электротехники, силиката натрия (катализаторов)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ВС-050-1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или необогащенные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листового оконного и технического стекла; лабораторного, медицинского и парфюмерного стекла; стекловолокна для электротехники, электроосветительного стекла, силикатов натрия (катализаторов)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lastRenderedPageBreak/>
              <w:t>ВС-050-2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или необогащенные 2-го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листового оконного и технического стекла, проката, стеклоблоков, консервной тары и бутылок из обесцвеченного стекла, автомобильного стекла, витрин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С-070-1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или необогащенные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 xml:space="preserve">Для производства оконного и технического стекла, </w:t>
            </w:r>
            <w:proofErr w:type="spellStart"/>
            <w:r>
              <w:t>стеклопрофилита</w:t>
            </w:r>
            <w:proofErr w:type="spellEnd"/>
            <w:r>
              <w:t>, стеклоблоков, белой консервной тары и бутылок, проката, стекловолокна для электротехники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С-070-2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 необогащенные 2-го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 xml:space="preserve">Для производства </w:t>
            </w:r>
            <w:proofErr w:type="spellStart"/>
            <w:r>
              <w:t>стеклопрофилита</w:t>
            </w:r>
            <w:proofErr w:type="spellEnd"/>
            <w:r>
              <w:t>, стеклоблоков, проката, белой консервной тары и бутылок, стекловолокна строительного и другого назначения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Б-100-1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 необогащенные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силикат-глыбы, стекловолокна для электротехники, оконного стекла, изоляторов, труб, консервной тары и бутылок из полубелого стекла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Б-100-2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обогащенные или необогащенные 2-го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изоляторов, труб, консервной тары и бутылок из полубелого стекла, стекловолокна строительного и другого назначения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ПБ-150-1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необогащенные, обогащенные или усредненные 1-го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оконного стекла, консервной тары и бутылок из полубелого стекла, изоляторов, труб, пеностекла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ПБ-150-2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необогащенные, обогащенные или усредненные 2-го сорта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стекловолокна для строительных целей, консервной тары и бутылок из полубелого стекла, изоляторов, труб, пеностекла, аккумуляторных банок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ПС-250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необогащенные, усредненные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пеностекла, стекловолокна для строительных целей, консервной тары и бутылок из полубелого стекла, изоляторов, труб, аккумуляторных банок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Т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Кварцевый песок, молотые песчаник, кварцит и жильный кварц необогащенные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Для производства бутылочного зеленого стекла</w:t>
            </w:r>
          </w:p>
        </w:tc>
      </w:tr>
    </w:tbl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Примечания: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1. В обозначении марок буквы означают: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ООВС - для особо ответственных изделий высокой </w:t>
      </w:r>
      <w:proofErr w:type="spellStart"/>
      <w:r>
        <w:rPr>
          <w:rFonts w:ascii="Verdana" w:hAnsi="Verdana"/>
          <w:color w:val="333333"/>
          <w:sz w:val="21"/>
          <w:szCs w:val="21"/>
        </w:rPr>
        <w:t>светопрозрачности</w:t>
      </w:r>
      <w:proofErr w:type="spellEnd"/>
      <w:r>
        <w:rPr>
          <w:rFonts w:ascii="Verdana" w:hAnsi="Verdana"/>
          <w:color w:val="333333"/>
          <w:sz w:val="21"/>
          <w:szCs w:val="21"/>
        </w:rPr>
        <w:t>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lastRenderedPageBreak/>
        <w:t xml:space="preserve">ОВС - для ответственных изделий высокой </w:t>
      </w:r>
      <w:proofErr w:type="spellStart"/>
      <w:r>
        <w:rPr>
          <w:rFonts w:ascii="Verdana" w:hAnsi="Verdana"/>
          <w:color w:val="333333"/>
          <w:sz w:val="21"/>
          <w:szCs w:val="21"/>
        </w:rPr>
        <w:t>светопрозрачности</w:t>
      </w:r>
      <w:proofErr w:type="spellEnd"/>
      <w:r>
        <w:rPr>
          <w:rFonts w:ascii="Verdana" w:hAnsi="Verdana"/>
          <w:color w:val="333333"/>
          <w:sz w:val="21"/>
          <w:szCs w:val="21"/>
        </w:rPr>
        <w:t>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ВС - для изделий высокой </w:t>
      </w:r>
      <w:proofErr w:type="spellStart"/>
      <w:r>
        <w:rPr>
          <w:rFonts w:ascii="Verdana" w:hAnsi="Verdana"/>
          <w:color w:val="333333"/>
          <w:sz w:val="21"/>
          <w:szCs w:val="21"/>
        </w:rPr>
        <w:t>светопрозрачности</w:t>
      </w:r>
      <w:proofErr w:type="spellEnd"/>
      <w:r>
        <w:rPr>
          <w:rFonts w:ascii="Verdana" w:hAnsi="Verdana"/>
          <w:color w:val="333333"/>
          <w:sz w:val="21"/>
          <w:szCs w:val="21"/>
        </w:rPr>
        <w:t>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С - для изделий </w:t>
      </w:r>
      <w:proofErr w:type="spellStart"/>
      <w:r>
        <w:rPr>
          <w:rFonts w:ascii="Verdana" w:hAnsi="Verdana"/>
          <w:color w:val="333333"/>
          <w:sz w:val="21"/>
          <w:szCs w:val="21"/>
        </w:rPr>
        <w:t>светопрозрачных</w:t>
      </w:r>
      <w:proofErr w:type="spellEnd"/>
      <w:r>
        <w:rPr>
          <w:rFonts w:ascii="Verdana" w:hAnsi="Verdana"/>
          <w:color w:val="333333"/>
          <w:sz w:val="21"/>
          <w:szCs w:val="21"/>
        </w:rPr>
        <w:t>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Б - для бесцветных изделий;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ПБ - для полубелых изделий;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ПС - для изделий пониженной </w:t>
      </w:r>
      <w:proofErr w:type="spellStart"/>
      <w:r>
        <w:rPr>
          <w:rFonts w:ascii="Verdana" w:hAnsi="Verdana"/>
          <w:color w:val="333333"/>
          <w:sz w:val="21"/>
          <w:szCs w:val="21"/>
        </w:rPr>
        <w:t>светопрозрачности</w:t>
      </w:r>
      <w:proofErr w:type="spellEnd"/>
      <w:r>
        <w:rPr>
          <w:rFonts w:ascii="Verdana" w:hAnsi="Verdana"/>
          <w:color w:val="333333"/>
          <w:sz w:val="21"/>
          <w:szCs w:val="21"/>
        </w:rPr>
        <w:t>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 - для изделий из темно-зеленого стекла.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В обозначении марок первые три цифры означают: массовую долю окиси железа в тысячных долях; четвертая цифра (буква) - сорт продукции данной марки (высший, первый, второй).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 Допускается применение кварцевого песка, молотых песчаника, кварцита и жильного кварца марок С, Б, ПБ и ПС для производства бутылочного зеленого стекла и марки ПС-250 для производства листового оконного стекла.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 Для марки ОВС-025 - 1А индекс А обозначает повышенное содержание тяжелой фракции (</w:t>
      </w:r>
      <w:r>
        <w:rPr>
          <w:rFonts w:ascii="Verdana" w:hAnsi="Verdana"/>
          <w:i/>
          <w:iCs/>
          <w:color w:val="333333"/>
          <w:sz w:val="21"/>
          <w:szCs w:val="21"/>
        </w:rPr>
        <w:t>d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³ 2,9) в обогащенных песках.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1, 2, 4,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5).</w:t>
      </w:r>
    </w:p>
    <w:p w:rsidR="00E40143" w:rsidRDefault="00E40143" w:rsidP="00E40143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2. ТЕХНИЧЕСКИЕ ТРЕБОВАНИЯ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2.1. Обогащенные и необогащенные кварцевый песок, молотые песчаник, кварцит и жильный кварц должны соответствовать требованиям настоящего стандарта.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2).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2.2. Обогащенные и необогащенные кварцевый песок, молотые песчаник, кварцит и жильный кварц по физико-химическим показателям должны соответствовать нормам, указанным в табл. 2.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5).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2.3. При содержании в кварцевых песках марок ООВС-010-В и ООВС-015-1 тяжелой фракции в пределах допуска настоящего стандарта допускается массовая доля Сr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О</w:t>
      </w:r>
      <w:r>
        <w:rPr>
          <w:rFonts w:ascii="Verdana" w:hAnsi="Verdana"/>
          <w:color w:val="333333"/>
          <w:sz w:val="16"/>
          <w:szCs w:val="16"/>
          <w:vertAlign w:val="subscript"/>
        </w:rPr>
        <w:t>3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не более 0,00015 %; ТiO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не более 0,05 %; V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O</w:t>
      </w:r>
      <w:r>
        <w:rPr>
          <w:rFonts w:ascii="Verdana" w:hAnsi="Verdana"/>
          <w:color w:val="333333"/>
          <w:sz w:val="16"/>
          <w:szCs w:val="16"/>
          <w:vertAlign w:val="subscript"/>
        </w:rPr>
        <w:t>5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не более 0,001 %.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Для обогащенных кварцевых песков марок ОВС-020-В и ОВС-025-1 допускается массовая доля Сr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О</w:t>
      </w:r>
      <w:r>
        <w:rPr>
          <w:rFonts w:ascii="Verdana" w:hAnsi="Verdana"/>
          <w:color w:val="333333"/>
          <w:sz w:val="16"/>
          <w:szCs w:val="16"/>
          <w:vertAlign w:val="subscript"/>
        </w:rPr>
        <w:t>3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не более 0,0003 %, определение Сr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О</w:t>
      </w:r>
      <w:r>
        <w:rPr>
          <w:rFonts w:ascii="Verdana" w:hAnsi="Verdana"/>
          <w:color w:val="333333"/>
          <w:sz w:val="16"/>
          <w:szCs w:val="16"/>
          <w:vertAlign w:val="subscript"/>
        </w:rPr>
        <w:t>3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и V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O</w:t>
      </w:r>
      <w:r>
        <w:rPr>
          <w:rFonts w:ascii="Verdana" w:hAnsi="Verdana"/>
          <w:color w:val="333333"/>
          <w:sz w:val="16"/>
          <w:szCs w:val="16"/>
          <w:vertAlign w:val="subscript"/>
        </w:rPr>
        <w:t>5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выполняется у потребителя.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2, 4, 5).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2.4. Допускается по соглашению с потребителем массовая доля влаги в необогащенных песках с 15 сентября по 15 мая не более 10 %.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При транспортировании песков, подвергающихся смерзанию в пути, в период с 15 ноября по 15 марта поставщик должен принимать профилактические меры, предотвращающие их смерзание.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Допускается по согласованию с потребителем содержание влаги в обогащенных песках всех марок не более 7 %.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При влажности песка более 10 % необходимо проводить дополнительное дренирование.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1, 2).</w:t>
      </w:r>
    </w:p>
    <w:p w:rsidR="00E40143" w:rsidRDefault="00E40143" w:rsidP="00E40143">
      <w:pPr>
        <w:rPr>
          <w:rFonts w:ascii="Times New Roman" w:hAnsi="Times New Roman"/>
          <w:sz w:val="24"/>
          <w:szCs w:val="24"/>
        </w:rPr>
      </w:pP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2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5"/>
        <w:gridCol w:w="620"/>
        <w:gridCol w:w="620"/>
        <w:gridCol w:w="510"/>
        <w:gridCol w:w="510"/>
        <w:gridCol w:w="510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14"/>
        <w:gridCol w:w="977"/>
        <w:gridCol w:w="854"/>
      </w:tblGrid>
      <w:tr w:rsidR="00E40143" w:rsidTr="00E40143">
        <w:trPr>
          <w:tblHeader/>
        </w:trPr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Наименование показателя</w:t>
            </w:r>
          </w:p>
        </w:tc>
        <w:tc>
          <w:tcPr>
            <w:tcW w:w="0" w:type="auto"/>
            <w:gridSpan w:val="18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Норма для марки</w:t>
            </w:r>
          </w:p>
        </w:tc>
      </w:tr>
      <w:tr w:rsidR="00E40143" w:rsidTr="00E40143">
        <w:trPr>
          <w:tblHeader/>
        </w:trPr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E40143" w:rsidRDefault="00E401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ООВС-010-В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ООВС-015-1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ОВС-025-1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ОВС-025-1А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ВС-030-В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ВС-040-1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ВС-050-1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ВС-050-2-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С-070-1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С-070-2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Б-100-1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Б-100-2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ПБ-150-1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ПБ-150-2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ПС-250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T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Метод испытаний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1. Массовая доля оксида кремния (SiO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), %, не менее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99,8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99,3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99,0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98,0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95,0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5" w:tooltip="Песок кварцевый, молотые песчаник, кварцит и жильный кварц для стекольной промышленности. Метод определения диоксида кремния" w:history="1">
              <w:r w:rsidRPr="00037702">
                <w:rPr>
                  <w:rStyle w:val="a4"/>
                  <w:color w:val="auto"/>
                  <w:u w:val="none"/>
                </w:rPr>
                <w:t>ГОСТ 22552.1</w:t>
              </w:r>
            </w:hyperlink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 Массовая доля оксида железа (Fе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O</w:t>
            </w:r>
            <w:r>
              <w:rPr>
                <w:sz w:val="16"/>
                <w:szCs w:val="16"/>
                <w:vertAlign w:val="subscript"/>
              </w:rPr>
              <w:t>3</w:t>
            </w:r>
            <w:r>
              <w:t>),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0,010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0,015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0,025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0,025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0,07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0,07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0,10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0,10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0,15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0,15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0,25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proofErr w:type="spellStart"/>
            <w:r>
              <w:t>He</w:t>
            </w:r>
            <w:proofErr w:type="spellEnd"/>
            <w:r>
              <w:t xml:space="preserve"> нормируется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6" w:tooltip="Песок кварцевый, молотые песчаник, кварцит и жильный кварц для стекольной промышленности. Методы определения оксида железа" w:history="1">
              <w:r w:rsidRPr="00037702">
                <w:rPr>
                  <w:rStyle w:val="a4"/>
                  <w:color w:val="auto"/>
                  <w:u w:val="none"/>
                </w:rPr>
                <w:t>ГОСТ 22552.2</w:t>
              </w:r>
            </w:hyperlink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3. Массовая доля оксида алюминия (Al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O</w:t>
            </w:r>
            <w:r>
              <w:rPr>
                <w:sz w:val="16"/>
                <w:szCs w:val="16"/>
                <w:vertAlign w:val="subscript"/>
              </w:rPr>
              <w:t>3</w:t>
            </w:r>
            <w:r>
              <w:t>),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0,4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0,6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1,5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4,0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4,0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7" w:tooltip="Песок кварцевый, молотые песчаник, кварцит и жильный кварц для стекольной промышленности. Метод определения оксида алюминия" w:history="1">
              <w:r w:rsidRPr="00037702">
                <w:rPr>
                  <w:rStyle w:val="a4"/>
                  <w:color w:val="auto"/>
                  <w:u w:val="none"/>
                </w:rPr>
                <w:t>ГОСТ 22552.3</w:t>
              </w:r>
            </w:hyperlink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4. Массовая доля влаги, %, не более: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8" w:tooltip="Песок кварцевый, молотые песчанник, кварцит и жильный кварц для стекольной промышленности. Метод определения влаги." w:history="1">
              <w:r w:rsidRPr="00037702">
                <w:rPr>
                  <w:rStyle w:val="a4"/>
                  <w:color w:val="auto"/>
                  <w:u w:val="none"/>
                </w:rPr>
                <w:t>ГОСТ 22552.5</w:t>
              </w:r>
            </w:hyperlink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 обогащенных песках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 необогащенных песках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7,0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 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lastRenderedPageBreak/>
              <w:t>5. Массовая доля тяжелой фракции</w:t>
            </w:r>
            <w:r>
              <w:rPr>
                <w:rStyle w:val="apple-converted-space"/>
              </w:rPr>
              <w:t> </w:t>
            </w:r>
            <w:r>
              <w:rPr>
                <w:i/>
                <w:iCs/>
              </w:rPr>
              <w:t>(</w:t>
            </w:r>
            <w:proofErr w:type="gramStart"/>
            <w:r>
              <w:rPr>
                <w:i/>
                <w:iCs/>
              </w:rPr>
              <w:t>d</w:t>
            </w:r>
            <w:r>
              <w:rPr>
                <w:rStyle w:val="apple-converted-space"/>
              </w:rPr>
              <w:t> </w:t>
            </w:r>
            <w:r>
              <w:t>&gt;</w:t>
            </w:r>
            <w:proofErr w:type="gramEnd"/>
            <w:r>
              <w:t xml:space="preserve"> 2,9) в обогащенных песках,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0,2</w:t>
            </w:r>
          </w:p>
        </w:tc>
        <w:tc>
          <w:tcPr>
            <w:tcW w:w="0" w:type="auto"/>
            <w:gridSpan w:val="12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Не нормируется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9" w:tooltip="Песок кварцевый, молотые песчаник, кварцит и жильный кварц для стекольной промышленности. Метод определения тяжелых минералов" w:history="1">
              <w:r w:rsidRPr="00037702">
                <w:rPr>
                  <w:rStyle w:val="a4"/>
                  <w:color w:val="auto"/>
                  <w:u w:val="none"/>
                </w:rPr>
                <w:t>ГОСТ 22552.6</w:t>
              </w:r>
            </w:hyperlink>
          </w:p>
        </w:tc>
      </w:tr>
    </w:tbl>
    <w:p w:rsidR="00E40143" w:rsidRDefault="00E40143" w:rsidP="00E40143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2.5. Допускаемые отклонения по содержанию оксида кремния (SiO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), оксида алюминия (Аl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О</w:t>
      </w:r>
      <w:r>
        <w:rPr>
          <w:rFonts w:ascii="Verdana" w:hAnsi="Verdana"/>
          <w:color w:val="333333"/>
          <w:sz w:val="16"/>
          <w:szCs w:val="16"/>
          <w:vertAlign w:val="subscript"/>
        </w:rPr>
        <w:t>3</w:t>
      </w:r>
      <w:r>
        <w:rPr>
          <w:rFonts w:ascii="Verdana" w:hAnsi="Verdana"/>
          <w:color w:val="333333"/>
          <w:sz w:val="21"/>
          <w:szCs w:val="21"/>
        </w:rPr>
        <w:t>), оксида железа (Fе</w:t>
      </w:r>
      <w:r>
        <w:rPr>
          <w:rFonts w:ascii="Verdana" w:hAnsi="Verdana"/>
          <w:color w:val="333333"/>
          <w:sz w:val="16"/>
          <w:szCs w:val="16"/>
          <w:vertAlign w:val="subscript"/>
        </w:rPr>
        <w:t>2</w:t>
      </w:r>
      <w:r>
        <w:rPr>
          <w:rFonts w:ascii="Verdana" w:hAnsi="Verdana"/>
          <w:color w:val="333333"/>
          <w:sz w:val="21"/>
          <w:szCs w:val="21"/>
        </w:rPr>
        <w:t>О</w:t>
      </w:r>
      <w:r>
        <w:rPr>
          <w:rFonts w:ascii="Verdana" w:hAnsi="Verdana"/>
          <w:color w:val="333333"/>
          <w:sz w:val="16"/>
          <w:szCs w:val="16"/>
          <w:vertAlign w:val="subscript"/>
        </w:rPr>
        <w:t>3</w:t>
      </w:r>
      <w:r>
        <w:rPr>
          <w:rFonts w:ascii="Verdana" w:hAnsi="Verdana"/>
          <w:color w:val="333333"/>
          <w:sz w:val="21"/>
          <w:szCs w:val="21"/>
        </w:rPr>
        <w:t>) не должны превышать значений, указанных в табл. 3.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3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7"/>
        <w:gridCol w:w="1521"/>
        <w:gridCol w:w="1521"/>
        <w:gridCol w:w="1781"/>
      </w:tblGrid>
      <w:tr w:rsidR="00E40143" w:rsidTr="00E40143">
        <w:trPr>
          <w:tblHeader/>
        </w:trPr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Марка</w:t>
            </w:r>
          </w:p>
        </w:tc>
        <w:tc>
          <w:tcPr>
            <w:tcW w:w="0" w:type="auto"/>
            <w:gridSpan w:val="3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Допускаемое отклонение между партиями, %</w:t>
            </w:r>
          </w:p>
        </w:tc>
      </w:tr>
      <w:tr w:rsidR="00E40143" w:rsidTr="00E40143">
        <w:trPr>
          <w:tblHeader/>
        </w:trPr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E40143" w:rsidRDefault="00E401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SiO</w:t>
            </w:r>
            <w:r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Аl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О</w:t>
            </w:r>
            <w:r>
              <w:rPr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Fе</w:t>
            </w:r>
            <w:r>
              <w:rPr>
                <w:sz w:val="16"/>
                <w:szCs w:val="16"/>
                <w:vertAlign w:val="subscript"/>
              </w:rPr>
              <w:t>2</w:t>
            </w:r>
            <w:r>
              <w:t>О</w:t>
            </w:r>
            <w:r>
              <w:rPr>
                <w:sz w:val="16"/>
                <w:szCs w:val="16"/>
                <w:vertAlign w:val="subscript"/>
              </w:rPr>
              <w:t>3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ООВС-010-В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ООВС-015-1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ОВС-025-1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ОВС-025-1А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ВС-030-В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ВС-040-1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ВС-050-1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ВС-050-2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С-070-1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±0,01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С-070-2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±0,01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lastRenderedPageBreak/>
              <w:t>Б-100-1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±0,01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Б-100-2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±0,01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ПБ-150-1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ПБ-150-2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±0,3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ПС-250 Т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±0,05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T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±0,05</w:t>
            </w:r>
          </w:p>
        </w:tc>
      </w:tr>
    </w:tbl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5).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2.6. Кварцевый песок, молотые песчаник, кварцит и жильный кварц по остаткам на ситах с сетками № 08 и 01 должны соответствовать нормам, указанным в табл. 4.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Таблица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8"/>
        <w:gridCol w:w="2755"/>
        <w:gridCol w:w="3159"/>
        <w:gridCol w:w="1648"/>
      </w:tblGrid>
      <w:tr w:rsidR="00E40143" w:rsidTr="00E40143">
        <w:trPr>
          <w:tblHeader/>
        </w:trPr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Наименование показателя</w:t>
            </w:r>
          </w:p>
        </w:tc>
        <w:tc>
          <w:tcPr>
            <w:tcW w:w="0" w:type="auto"/>
            <w:gridSpan w:val="2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Норма для кварцевого песка, молотых песчаника, кварцита и жильного кварца</w:t>
            </w:r>
          </w:p>
        </w:tc>
        <w:tc>
          <w:tcPr>
            <w:tcW w:w="0" w:type="auto"/>
            <w:vMerge w:val="restart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Метод испытаний</w:t>
            </w:r>
          </w:p>
        </w:tc>
      </w:tr>
      <w:tr w:rsidR="00E40143" w:rsidTr="00E40143">
        <w:trPr>
          <w:tblHeader/>
        </w:trPr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E40143" w:rsidRDefault="00E40143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обогащенного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необогащенного</w:t>
            </w:r>
          </w:p>
        </w:tc>
        <w:tc>
          <w:tcPr>
            <w:tcW w:w="0" w:type="auto"/>
            <w:vMerge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vAlign w:val="center"/>
            <w:hideMark/>
          </w:tcPr>
          <w:p w:rsidR="00E40143" w:rsidRDefault="00E40143">
            <w:pPr>
              <w:rPr>
                <w:sz w:val="24"/>
                <w:szCs w:val="24"/>
              </w:rPr>
            </w:pP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Остаток на сетке № 08,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0,5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10" w:tooltip="Песок кварцевый, молотые песчанник, кварцит и жильный кварц для стекольной промышленности. Метод определения гранулометрического состава." w:history="1">
              <w:r w:rsidRPr="00037702">
                <w:rPr>
                  <w:rStyle w:val="a4"/>
                  <w:color w:val="auto"/>
                  <w:u w:val="none"/>
                </w:rPr>
                <w:t>ГОСТ 22552.7</w:t>
              </w:r>
            </w:hyperlink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Проход через сетку № 01, %, не более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15,0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По</w:t>
            </w:r>
            <w:r>
              <w:rPr>
                <w:rStyle w:val="apple-converted-space"/>
              </w:rPr>
              <w:t> </w:t>
            </w:r>
            <w:hyperlink r:id="rId11" w:tooltip="Песок кварцевый, молотые песчанник, кварцит и жильный кварц для стекольной промышленности. Метод определения гранулометрического состава." w:history="1">
              <w:r w:rsidRPr="00037702">
                <w:rPr>
                  <w:rStyle w:val="a4"/>
                  <w:color w:val="auto"/>
                  <w:u w:val="none"/>
                </w:rPr>
                <w:t>ГОСТ 22552.7</w:t>
              </w:r>
            </w:hyperlink>
          </w:p>
        </w:tc>
      </w:tr>
    </w:tbl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2.7. По согласованию с потребителем кварцевый песок </w:t>
      </w:r>
      <w:proofErr w:type="spellStart"/>
      <w:r>
        <w:rPr>
          <w:rFonts w:ascii="Verdana" w:hAnsi="Verdana"/>
          <w:color w:val="333333"/>
          <w:sz w:val="21"/>
          <w:szCs w:val="21"/>
        </w:rPr>
        <w:t>Аникшчайского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месторождения допускается с остатком на сите с сеткой № 08: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необогащенный - не более 10%;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обогащенный - не более 5%.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1, 2).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2.8. По согласованию с потребителем для обогащенного кварцевого песка и молотого песчаника </w:t>
      </w:r>
      <w:proofErr w:type="spellStart"/>
      <w:r>
        <w:rPr>
          <w:rFonts w:ascii="Verdana" w:hAnsi="Verdana"/>
          <w:color w:val="333333"/>
          <w:sz w:val="21"/>
          <w:szCs w:val="21"/>
        </w:rPr>
        <w:t>Туганского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, </w:t>
      </w:r>
      <w:proofErr w:type="spellStart"/>
      <w:r>
        <w:rPr>
          <w:rFonts w:ascii="Verdana" w:hAnsi="Verdana"/>
          <w:color w:val="333333"/>
          <w:sz w:val="21"/>
          <w:szCs w:val="21"/>
        </w:rPr>
        <w:t>Новозыбковского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месторождения и месторождения Серное допускается проход через сетку № 0063 не более 5%.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1).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2.9. В кварцевом песке, молотых песчанике, кварците и жильном кварце всех марок не допускается наличие посторонних примесей, видимых невооруженным глазом: остатков хромовой руды, цемента, битого стекла, кирпичей, щепы, угля и т.д.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Для кварцевого песка Новоселовского месторождения допускается наличие унифицированных примесей, содержащихся в добываемой горной массе.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5).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lastRenderedPageBreak/>
        <w:t>2.10.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(Исключен, Изм.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№ 2).</w:t>
      </w:r>
    </w:p>
    <w:p w:rsidR="00E40143" w:rsidRDefault="00E40143" w:rsidP="00E40143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3. ПРИЕМКА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3.1. Кварцевый песок, молотые песчаник, кварцит и жильный кварц принимают партиями. Партией считают количество продукции одного месторождения, одной марки, оформленное одним документом о качестве, в котором указывают: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предприятия-изготовителя и его товарный знак;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и марку продукции;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и дату выдачи документа;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результаты испытаний;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дату отгрузки;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массу партии;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партии;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вагона или номера контейнеров;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обозначение настоящего стандарта.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3.2. Для контроля качества продукции, упакованной в мешки, точечные пробы отбирают от 5 % мешков, но не менее чем от пяти мешков.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3.3. При несоответствии результатов испытаний требованиям настоящего стандарта хотя бы по одному из показателей проводят повторное испытание по этим показателям. Результаты повторных испытаний распространяются на всю партию.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Разд. 3.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3).</w:t>
      </w:r>
    </w:p>
    <w:p w:rsidR="00E40143" w:rsidRDefault="00E40143" w:rsidP="00E40143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4. МЕТОДЫ ИСПЫТАНИЙ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4.1. Отбор проб для испытаний упакованной продукции производят щупом произвольно из любой точки мешка или контейнера.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От каждого мешка или контейнера должна быть отобрана одна точечная проба массой не менее 0,1 кг.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3).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4.1a. Отбор проб для испытаний продукции без упаковки производят следующим образом: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от продукции, находящейся на складе, - щупом из восьми разных точек, расположенных на равном расстоянии друг от друга и на расстоянии не менее 0,5 м от края насыпи. Масса точечной пробы должна быть не менее 0,25 кг;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от продукции, загружаемой в транспортные средства, - восемь точечных проб при пересечении струи материала или с ленты конвейера с периодом отбора (</w:t>
      </w:r>
      <w:r>
        <w:rPr>
          <w:rFonts w:ascii="Verdana" w:hAnsi="Verdana"/>
          <w:i/>
          <w:iCs/>
          <w:color w:val="333333"/>
          <w:sz w:val="21"/>
          <w:szCs w:val="21"/>
        </w:rPr>
        <w:t>t</w:t>
      </w:r>
      <w:r>
        <w:rPr>
          <w:rFonts w:ascii="Verdana" w:hAnsi="Verdana"/>
          <w:color w:val="333333"/>
          <w:sz w:val="21"/>
          <w:szCs w:val="21"/>
        </w:rPr>
        <w:t>) в минутах, вычисляемым по формуле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noProof/>
          <w:color w:val="333333"/>
          <w:sz w:val="16"/>
          <w:szCs w:val="16"/>
          <w:vertAlign w:val="subscript"/>
        </w:rPr>
        <mc:AlternateContent>
          <mc:Choice Requires="wps">
            <w:drawing>
              <wp:inline distT="0" distB="0" distL="0" distR="0">
                <wp:extent cx="685800" cy="419100"/>
                <wp:effectExtent l="0" t="0" r="0" b="0"/>
                <wp:docPr id="1" name="Прямоугольник 1" descr="https://img2.standartgost.ru/images/Data2/f/1/4294852/4294852848.files/x004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85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9360903" id="Прямоугольник 1" o:spid="_x0000_s1026" alt="https://img2.standartgost.ru/images/Data2/f/1/4294852/4294852848.files/x004.gif" style="width:54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" filled="f" stroked="f">
                <o:lock v:ext="edit" aspectratio="t"/>
                <w10:anchorlock/>
              </v:rect>
            </w:pict>
          </mc:Fallback>
        </mc:AlternateConten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где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i/>
          <w:iCs/>
          <w:color w:val="333333"/>
          <w:sz w:val="21"/>
          <w:szCs w:val="21"/>
        </w:rPr>
        <w:t>т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- масса партии, т;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i/>
          <w:iCs/>
          <w:color w:val="333333"/>
          <w:sz w:val="21"/>
          <w:szCs w:val="21"/>
        </w:rPr>
        <w:lastRenderedPageBreak/>
        <w:t>Q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- производительность потока продукции, т/ч.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Масса точечной пробы должна быть не менее 0,5 кг.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(Введен дополнительно, Изм. № 3).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4.2. Масса объединенной пробы, состоящей из точечных проб, должна быть не менее 4 кг. Объединенную пробу тщательно перемешивают и методом </w:t>
      </w:r>
      <w:proofErr w:type="spellStart"/>
      <w:r>
        <w:rPr>
          <w:rFonts w:ascii="Verdana" w:hAnsi="Verdana"/>
          <w:color w:val="333333"/>
          <w:sz w:val="21"/>
          <w:szCs w:val="21"/>
        </w:rPr>
        <w:t>квартования</w:t>
      </w:r>
      <w:proofErr w:type="spellEnd"/>
      <w:r>
        <w:rPr>
          <w:rFonts w:ascii="Verdana" w:hAnsi="Verdana"/>
          <w:color w:val="333333"/>
          <w:sz w:val="21"/>
          <w:szCs w:val="21"/>
        </w:rPr>
        <w:t xml:space="preserve"> сокращают до 2 кг.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3).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4.3. Полученную пробу делят на две равные части, одну из которых направляют в лабораторию, вторую упаковывают в полиэтиленовый мешок или стеклянную банку, опечатывают и хранят в специально отведенном помещении в течение 2 месяцев на случай разногласий, возникших при определении качества.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 полиэтиленовом мешке или стеклянной банке должны быть указаны: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предприятия-изготовителя;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наименование и марка продукции;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 партии;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дата отбора проб;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должность и фамилия лиц, производивших отбор проб.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4.4. Методы испытаний указаны в </w:t>
      </w:r>
      <w:proofErr w:type="spellStart"/>
      <w:r>
        <w:rPr>
          <w:rFonts w:ascii="Verdana" w:hAnsi="Verdana"/>
          <w:color w:val="333333"/>
          <w:sz w:val="21"/>
          <w:szCs w:val="21"/>
        </w:rPr>
        <w:t>пп</w:t>
      </w:r>
      <w:proofErr w:type="spellEnd"/>
      <w:r>
        <w:rPr>
          <w:rFonts w:ascii="Verdana" w:hAnsi="Verdana"/>
          <w:color w:val="333333"/>
          <w:sz w:val="21"/>
          <w:szCs w:val="21"/>
        </w:rPr>
        <w:t>. 2.1 и 2.3.</w:t>
      </w:r>
    </w:p>
    <w:p w:rsidR="00E40143" w:rsidRDefault="00E40143" w:rsidP="00E40143">
      <w:pPr>
        <w:pStyle w:val="2"/>
        <w:spacing w:before="300" w:after="150"/>
        <w:rPr>
          <w:rFonts w:ascii="inherit" w:hAnsi="inherit"/>
          <w:color w:val="333333"/>
          <w:sz w:val="45"/>
          <w:szCs w:val="45"/>
        </w:rPr>
      </w:pPr>
      <w:r>
        <w:rPr>
          <w:rFonts w:ascii="inherit" w:hAnsi="inherit"/>
          <w:b/>
          <w:bCs/>
          <w:color w:val="333333"/>
          <w:sz w:val="45"/>
          <w:szCs w:val="45"/>
        </w:rPr>
        <w:t>5. УПАКОВКА, МАРКИРОВКА, ТРАНСПОРТИРОВАНИЕ И ХРАНЕНИЕ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5.1. </w:t>
      </w:r>
      <w:proofErr w:type="gramStart"/>
      <w:r>
        <w:rPr>
          <w:rFonts w:ascii="Verdana" w:hAnsi="Verdana"/>
          <w:color w:val="333333"/>
          <w:sz w:val="21"/>
          <w:szCs w:val="21"/>
        </w:rPr>
        <w:t>Кварцевый песок и жильный кварц</w:t>
      </w:r>
      <w:proofErr w:type="gramEnd"/>
      <w:r>
        <w:rPr>
          <w:rFonts w:ascii="Verdana" w:hAnsi="Verdana"/>
          <w:color w:val="333333"/>
          <w:sz w:val="21"/>
          <w:szCs w:val="21"/>
        </w:rPr>
        <w:t xml:space="preserve"> обогащенные марок ООВС-010-В, ООВС-015-1, ОВС-020-В, ОВС-025-1, ОВС-025-1А допускается упаковывать в четырехслойные мешки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2" w:tooltip="Мешки бумажные. Технические условия" w:history="1">
        <w:r w:rsidRPr="00037702">
          <w:rPr>
            <w:rStyle w:val="a4"/>
            <w:rFonts w:ascii="Verdana" w:hAnsi="Verdana"/>
            <w:color w:val="auto"/>
            <w:sz w:val="21"/>
            <w:szCs w:val="21"/>
            <w:u w:val="none"/>
          </w:rPr>
          <w:t>ГОСТ 2226</w:t>
        </w:r>
      </w:hyperlink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массой не более 50 кг или специальные контейнеры.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3).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5.2. Маркировка транспортной тары - по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3" w:tooltip="Маркировка грузов" w:history="1">
        <w:r w:rsidRPr="00037702">
          <w:rPr>
            <w:rStyle w:val="a4"/>
            <w:rFonts w:ascii="Verdana" w:hAnsi="Verdana"/>
            <w:color w:val="auto"/>
            <w:sz w:val="21"/>
            <w:szCs w:val="21"/>
            <w:u w:val="none"/>
          </w:rPr>
          <w:t>ГОСТ 14192</w:t>
        </w:r>
      </w:hyperlink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>с нанесением следующих дополнительных данных: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марки и названия месторождения;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даты изготовления;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номера партии;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обозначения настоящего стандарта.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1, 3).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5.3.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(Исключен, Изм. № 2).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5.4. Кварцевый песок, молотые песчаник, кварцит и жильный кварц транспортируют транспортом всех видов с соблюдением правил перевозки грузов, действующих на транспорте данного вида.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Кварцевый песок и жильный кварц, упакованные в мешки, транспортируют в крытых, очищенных от ранее перевозимых грузов </w:t>
      </w:r>
      <w:r w:rsidR="00E27397">
        <w:rPr>
          <w:rFonts w:ascii="Verdana" w:hAnsi="Verdana"/>
          <w:color w:val="333333"/>
          <w:sz w:val="21"/>
          <w:szCs w:val="21"/>
        </w:rPr>
        <w:t xml:space="preserve">в </w:t>
      </w:r>
      <w:r>
        <w:rPr>
          <w:rFonts w:ascii="Verdana" w:hAnsi="Verdana"/>
          <w:color w:val="333333"/>
          <w:sz w:val="21"/>
          <w:szCs w:val="21"/>
        </w:rPr>
        <w:t>вагонах; упакованные в контейнеры - в крытых вагонах или на открытом подвижном составе.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lastRenderedPageBreak/>
        <w:t xml:space="preserve">Неупакованные обогащенные кварцевый песок, молотые песчаник, кварцит и жильный кварц транспортируют в тщательно вымытых и очищенных от ранее перевозимых грузов </w:t>
      </w:r>
      <w:r w:rsidR="00E27397">
        <w:rPr>
          <w:rFonts w:ascii="Verdana" w:hAnsi="Verdana"/>
          <w:color w:val="333333"/>
          <w:sz w:val="21"/>
          <w:szCs w:val="21"/>
        </w:rPr>
        <w:t xml:space="preserve">в </w:t>
      </w:r>
      <w:r>
        <w:rPr>
          <w:rFonts w:ascii="Verdana" w:hAnsi="Verdana"/>
          <w:color w:val="333333"/>
          <w:sz w:val="21"/>
          <w:szCs w:val="21"/>
        </w:rPr>
        <w:t>вагонах типа цементовозов, крытых вагонах и полувагонах.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 xml:space="preserve">Неупакованные необогащенные кварцевый песок, молотые песчаник, кварцит и жильный кварц транспортируют в тщательно вымытых и очищенных от ранее перевозимых грузов </w:t>
      </w:r>
      <w:r w:rsidR="00E27397">
        <w:rPr>
          <w:rFonts w:ascii="Verdana" w:hAnsi="Verdana"/>
          <w:color w:val="333333"/>
          <w:sz w:val="21"/>
          <w:szCs w:val="21"/>
        </w:rPr>
        <w:t xml:space="preserve">в </w:t>
      </w:r>
      <w:r>
        <w:rPr>
          <w:rFonts w:ascii="Verdana" w:hAnsi="Verdana"/>
          <w:color w:val="333333"/>
          <w:sz w:val="21"/>
          <w:szCs w:val="21"/>
        </w:rPr>
        <w:t>полувагонах и на платформах.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5).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5.5. Кварцевый песок, молотые песчаник, кварцит и жильный кварц должны храниться в закрытых складских помещениях или силосных башнях раздельно по маркам.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Допускается хранение необогащенного кварцевого песка, молотых песчаника, кварцита и жильного кварца на открытых складах, обеспечивающих сохранность их качества.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5.6. Транспортирование кварцевого песка, молотых песчаника, кварцита и жильного кварца по железной дороге осуществляется в соответствии с правилами перевозки грузов и условий размещения и крепления грузов, утвержденных Министерством путей сообщения.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color w:val="333333"/>
          <w:sz w:val="21"/>
          <w:szCs w:val="21"/>
        </w:rPr>
        <w:t>Погрузочно-разгрузочные работы должны производиться в соответствии с требованиями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hyperlink r:id="rId14" w:tooltip="Вагоны грузовые магистральных железных дорог колеи 1520 мм. Общие требования по обеспечению сохранности при производстве погрузочно-разгрузочных и маневровых работ" w:history="1">
        <w:r w:rsidRPr="00E27397">
          <w:rPr>
            <w:rStyle w:val="a4"/>
            <w:rFonts w:ascii="Verdana" w:hAnsi="Verdana"/>
            <w:color w:val="auto"/>
            <w:sz w:val="21"/>
            <w:szCs w:val="21"/>
            <w:u w:val="none"/>
          </w:rPr>
          <w:t>ГОСТ 22235</w:t>
        </w:r>
      </w:hyperlink>
      <w:r>
        <w:rPr>
          <w:rFonts w:ascii="Verdana" w:hAnsi="Verdana"/>
          <w:color w:val="333333"/>
          <w:sz w:val="21"/>
          <w:szCs w:val="21"/>
        </w:rPr>
        <w:t>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(Измененная редакция, Изм. № 2, 3).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ИНФОРМАЦИОННЫЕ ДАННЫЕ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1. РАЗРАБОТАН И ВНЕСЕН Министерством промышленности строительных материалов СССР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РАЗРАБОТЧИКИ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Б.И. Борисов,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 xml:space="preserve">канд. </w:t>
      </w:r>
      <w:proofErr w:type="spellStart"/>
      <w:r>
        <w:rPr>
          <w:rFonts w:ascii="Verdana" w:hAnsi="Verdana"/>
          <w:color w:val="333333"/>
          <w:sz w:val="21"/>
          <w:szCs w:val="21"/>
        </w:rPr>
        <w:t>техн</w:t>
      </w:r>
      <w:proofErr w:type="spellEnd"/>
      <w:r>
        <w:rPr>
          <w:rFonts w:ascii="Verdana" w:hAnsi="Verdana"/>
          <w:color w:val="333333"/>
          <w:sz w:val="21"/>
          <w:szCs w:val="21"/>
        </w:rPr>
        <w:t>. наук;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 xml:space="preserve">Л.А. </w:t>
      </w:r>
      <w:proofErr w:type="spellStart"/>
      <w:r>
        <w:rPr>
          <w:rFonts w:ascii="Verdana" w:hAnsi="Verdana"/>
          <w:b/>
          <w:bCs/>
          <w:color w:val="333333"/>
          <w:sz w:val="21"/>
          <w:szCs w:val="21"/>
        </w:rPr>
        <w:t>Зайонц</w:t>
      </w:r>
      <w:proofErr w:type="spellEnd"/>
      <w:r>
        <w:rPr>
          <w:rFonts w:ascii="Verdana" w:hAnsi="Verdana"/>
          <w:b/>
          <w:bCs/>
          <w:color w:val="333333"/>
          <w:sz w:val="21"/>
          <w:szCs w:val="21"/>
        </w:rPr>
        <w:t>,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 xml:space="preserve">канд. </w:t>
      </w:r>
      <w:proofErr w:type="spellStart"/>
      <w:r>
        <w:rPr>
          <w:rFonts w:ascii="Verdana" w:hAnsi="Verdana"/>
          <w:color w:val="333333"/>
          <w:sz w:val="21"/>
          <w:szCs w:val="21"/>
        </w:rPr>
        <w:t>техн</w:t>
      </w:r>
      <w:proofErr w:type="spellEnd"/>
      <w:r>
        <w:rPr>
          <w:rFonts w:ascii="Verdana" w:hAnsi="Verdana"/>
          <w:color w:val="333333"/>
          <w:sz w:val="21"/>
          <w:szCs w:val="21"/>
        </w:rPr>
        <w:t>. наук;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И.И. Попова,</w:t>
      </w:r>
      <w:r>
        <w:rPr>
          <w:rStyle w:val="apple-converted-space"/>
          <w:rFonts w:ascii="Verdana" w:hAnsi="Verdana"/>
          <w:color w:val="333333"/>
          <w:sz w:val="21"/>
          <w:szCs w:val="21"/>
        </w:rPr>
        <w:t> </w:t>
      </w:r>
      <w:r>
        <w:rPr>
          <w:rFonts w:ascii="Verdana" w:hAnsi="Verdana"/>
          <w:color w:val="333333"/>
          <w:sz w:val="21"/>
          <w:szCs w:val="21"/>
        </w:rPr>
        <w:t xml:space="preserve">канд. </w:t>
      </w:r>
      <w:proofErr w:type="spellStart"/>
      <w:r>
        <w:rPr>
          <w:rFonts w:ascii="Verdana" w:hAnsi="Verdana"/>
          <w:color w:val="333333"/>
          <w:sz w:val="21"/>
          <w:szCs w:val="21"/>
        </w:rPr>
        <w:t>техн</w:t>
      </w:r>
      <w:proofErr w:type="spellEnd"/>
      <w:r>
        <w:rPr>
          <w:rFonts w:ascii="Verdana" w:hAnsi="Verdana"/>
          <w:color w:val="333333"/>
          <w:sz w:val="21"/>
          <w:szCs w:val="21"/>
        </w:rPr>
        <w:t>. наук,</w:t>
      </w:r>
      <w:r>
        <w:rPr>
          <w:rStyle w:val="apple-converted-space"/>
          <w:rFonts w:ascii="Verdana" w:hAnsi="Verdana"/>
          <w:b/>
          <w:bCs/>
          <w:color w:val="333333"/>
          <w:sz w:val="21"/>
          <w:szCs w:val="21"/>
        </w:rPr>
        <w:t> </w:t>
      </w:r>
      <w:r>
        <w:rPr>
          <w:rFonts w:ascii="Verdana" w:hAnsi="Verdana"/>
          <w:b/>
          <w:bCs/>
          <w:color w:val="333333"/>
          <w:sz w:val="21"/>
          <w:szCs w:val="21"/>
        </w:rPr>
        <w:t>И.Н. Андрианова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2. УТВЕРЖДЕН И ВВЕДЕН В ДЕЙСТВИЕ Постановлением Государственного комитета СССР по стандартам от 25.05.77 № 1328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3. ВВЕДЕН ВПЕРВЫЕ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4. ССЫЛОЧНЫЕ НОРМАТИВНО-ТЕХНИЧЕСКИЕ ДОКУМЕНТЫ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5"/>
        <w:gridCol w:w="1587"/>
      </w:tblGrid>
      <w:tr w:rsidR="00E40143" w:rsidTr="00E40143">
        <w:trPr>
          <w:tblHeader/>
        </w:trPr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Обозначение НТД, на которые дана ссылка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Номер пункта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15" w:tooltip="Мешки бумажные. Технические условия" w:history="1">
              <w:r w:rsidRPr="00E27397">
                <w:rPr>
                  <w:rStyle w:val="a4"/>
                  <w:color w:val="auto"/>
                  <w:u w:val="none"/>
                </w:rPr>
                <w:t>ГОСТ 2226-88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5.1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16" w:tooltip="Маркировка грузов" w:history="1">
              <w:r w:rsidRPr="00E27397">
                <w:rPr>
                  <w:rStyle w:val="a4"/>
                  <w:color w:val="auto"/>
                  <w:u w:val="none"/>
                </w:rPr>
                <w:t>ГОСТ 14192</w:t>
              </w:r>
            </w:hyperlink>
            <w:r w:rsidRPr="00E27397">
              <w:t>-77</w:t>
            </w:r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5.2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17" w:tooltip="Вагоны грузовые магистральных железных дорог колеи 1520 мм. Общие требования по обеспечению сохранности при производстве погрузочно-разгрузочных и маневровых работ" w:history="1">
              <w:r w:rsidRPr="00E27397">
                <w:rPr>
                  <w:rStyle w:val="a4"/>
                  <w:color w:val="auto"/>
                  <w:u w:val="none"/>
                </w:rPr>
                <w:t>ГОСТ 22235-76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5.6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18" w:tooltip="Песок кварцевый, молотые песчаник, кварцит и жильный кварц для стекольной промышленности. Метод определения диоксида кремния" w:history="1">
              <w:r w:rsidRPr="00E27397">
                <w:rPr>
                  <w:rStyle w:val="a4"/>
                  <w:color w:val="auto"/>
                  <w:u w:val="none"/>
                </w:rPr>
                <w:t>ГОСТ 22552.1-77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19" w:tooltip="Песок кварцевый, молотые песчаник, кварцит и жильный кварц для стекольной промышленности. Методы определения оксида железа" w:history="1">
              <w:r w:rsidRPr="00E27397">
                <w:rPr>
                  <w:rStyle w:val="a4"/>
                  <w:color w:val="auto"/>
                  <w:u w:val="none"/>
                </w:rPr>
                <w:t>ГОСТ 22552.2-93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20" w:tooltip="Песок кварцевый, молотые песчаник, кварцит и жильный кварц для стекольной промышленности. Метод определения оксида алюминия" w:history="1">
              <w:r w:rsidRPr="00E27397">
                <w:rPr>
                  <w:rStyle w:val="a4"/>
                  <w:color w:val="auto"/>
                  <w:u w:val="none"/>
                </w:rPr>
                <w:t>ГОСТ 22552.3-93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21" w:tooltip="Песок кварцевый, молотые песчанник, кварцит и жильный кварц для стекольной промышленности. Метод определения влаги." w:history="1">
              <w:r w:rsidRPr="00E27397">
                <w:rPr>
                  <w:rStyle w:val="a4"/>
                  <w:color w:val="auto"/>
                  <w:u w:val="none"/>
                </w:rPr>
                <w:t>ГОСТ 22552.5-77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22" w:tooltip="Песок кварцевый, молотые песчаник, кварцит и жильный кварц для стекольной промышленности. Метод определения тяжелых минералов" w:history="1">
              <w:r w:rsidRPr="00E27397">
                <w:rPr>
                  <w:rStyle w:val="a4"/>
                  <w:color w:val="auto"/>
                  <w:u w:val="none"/>
                </w:rPr>
                <w:t>ГОСТ 22552.6-77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23" w:tooltip="Песок кварцевый, молотые песчанник, кварцит и жильный кварц для стекольной промышленности. Метод определения гранулометрического состава." w:history="1">
              <w:r w:rsidRPr="00E27397">
                <w:rPr>
                  <w:rStyle w:val="a4"/>
                  <w:color w:val="auto"/>
                  <w:u w:val="none"/>
                </w:rPr>
                <w:t>ГОСТ 22552.7-77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2.6</w:t>
            </w:r>
          </w:p>
        </w:tc>
      </w:tr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Pr="00E27397" w:rsidRDefault="00E40143">
            <w:pPr>
              <w:pStyle w:val="a3"/>
              <w:spacing w:before="0" w:beforeAutospacing="0" w:after="150" w:afterAutospacing="0"/>
            </w:pPr>
            <w:hyperlink r:id="rId24" w:tooltip="Материалы полевошпатовые и кварц-полевошпатовые. Типы, марки и основные параметры" w:history="1">
              <w:r w:rsidRPr="00E27397">
                <w:rPr>
                  <w:rStyle w:val="a4"/>
                  <w:color w:val="auto"/>
                  <w:u w:val="none"/>
                </w:rPr>
                <w:t>ГОСТ 23034-78</w:t>
              </w:r>
            </w:hyperlink>
          </w:p>
        </w:tc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2.2</w:t>
            </w:r>
          </w:p>
        </w:tc>
      </w:tr>
    </w:tbl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5. Ограничение срока действия снято Постановлением Госстандарта от 29.08.91 № 1401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6. ПЕРЕИЗДАНИЕ (май 1997 г.) с Изменениями № 1, 2, 3, 4, 5, утвержденными в мае 1980 г., ноябре 1983 г., октябре 1987 г., июле 1991 г. и сентябре 1992 г. (ИУС 8-80, 2-84, 1-88, 11-91, 12-92)</w:t>
      </w:r>
    </w:p>
    <w:p w:rsidR="00E40143" w:rsidRDefault="00E40143" w:rsidP="00E40143">
      <w:pPr>
        <w:pStyle w:val="a3"/>
        <w:spacing w:before="0" w:beforeAutospacing="0" w:after="150" w:afterAutospacing="0" w:line="300" w:lineRule="atLeast"/>
        <w:rPr>
          <w:rFonts w:ascii="Verdana" w:hAnsi="Verdana"/>
          <w:color w:val="333333"/>
          <w:sz w:val="21"/>
          <w:szCs w:val="21"/>
        </w:rPr>
      </w:pPr>
      <w:r>
        <w:rPr>
          <w:rFonts w:ascii="Verdana" w:hAnsi="Verdana"/>
          <w:b/>
          <w:bCs/>
          <w:color w:val="333333"/>
          <w:sz w:val="21"/>
          <w:szCs w:val="21"/>
        </w:rPr>
        <w:t>СОДЕРЖАНИЕ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3"/>
      </w:tblGrid>
      <w:tr w:rsidR="00E40143" w:rsidTr="00E40143">
        <w:tc>
          <w:tcPr>
            <w:tcW w:w="0" w:type="auto"/>
            <w:tcBorders>
              <w:top w:val="single" w:sz="6" w:space="0" w:color="D3D3D3"/>
              <w:left w:val="single" w:sz="6" w:space="0" w:color="D3D3D3"/>
              <w:bottom w:val="single" w:sz="6" w:space="0" w:color="D3D3D3"/>
              <w:right w:val="single" w:sz="6" w:space="0" w:color="D3D3D3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40143" w:rsidRDefault="00E40143">
            <w:pPr>
              <w:pStyle w:val="a3"/>
              <w:spacing w:before="0" w:beforeAutospacing="0" w:after="150" w:afterAutospacing="0"/>
            </w:pPr>
            <w:r>
              <w:t>1. Марки. 1</w:t>
            </w:r>
          </w:p>
          <w:p w:rsidR="00E40143" w:rsidRDefault="00E40143">
            <w:pPr>
              <w:pStyle w:val="a3"/>
              <w:spacing w:before="0" w:beforeAutospacing="0" w:after="150" w:afterAutospacing="0"/>
            </w:pPr>
            <w:r>
              <w:t>2. Технические требования. 3</w:t>
            </w:r>
          </w:p>
          <w:p w:rsidR="00E40143" w:rsidRDefault="00E40143">
            <w:pPr>
              <w:pStyle w:val="a3"/>
              <w:spacing w:before="0" w:beforeAutospacing="0" w:after="150" w:afterAutospacing="0"/>
            </w:pPr>
            <w:r>
              <w:t>3. Приемка. 5</w:t>
            </w:r>
          </w:p>
          <w:p w:rsidR="00E40143" w:rsidRDefault="00E40143">
            <w:pPr>
              <w:pStyle w:val="a3"/>
              <w:spacing w:before="0" w:beforeAutospacing="0" w:after="150" w:afterAutospacing="0"/>
            </w:pPr>
            <w:r>
              <w:t>4. Методы испытаний. 6</w:t>
            </w:r>
          </w:p>
          <w:p w:rsidR="00E40143" w:rsidRDefault="00E40143">
            <w:pPr>
              <w:pStyle w:val="a3"/>
              <w:spacing w:before="0" w:beforeAutospacing="0" w:after="150" w:afterAutospacing="0"/>
            </w:pPr>
            <w:r>
              <w:t>5. Упаковка, маркировка, транспортирование и хранение. 6</w:t>
            </w:r>
          </w:p>
        </w:tc>
      </w:tr>
    </w:tbl>
    <w:p w:rsidR="00E40143" w:rsidRDefault="00E40143"/>
    <w:sectPr w:rsidR="00E40143" w:rsidSect="00E401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8E3"/>
    <w:rsid w:val="00037702"/>
    <w:rsid w:val="002468E3"/>
    <w:rsid w:val="00713FDE"/>
    <w:rsid w:val="00E27397"/>
    <w:rsid w:val="00E4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CAF149-11AD-443D-9C5F-9C6C5CA3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01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01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01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E40143"/>
  </w:style>
  <w:style w:type="paragraph" w:styleId="a3">
    <w:name w:val="Normal (Web)"/>
    <w:basedOn w:val="a"/>
    <w:uiPriority w:val="99"/>
    <w:semiHidden/>
    <w:unhideWhenUsed/>
    <w:rsid w:val="00E401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401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semiHidden/>
    <w:unhideWhenUsed/>
    <w:rsid w:val="00E40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0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3614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69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3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2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ndartgost.ru/gost/by_pkey/14294852846" TargetMode="External"/><Relationship Id="rId13" Type="http://schemas.openxmlformats.org/officeDocument/2006/relationships/hyperlink" Target="http://standartgost.ru/gost/by_pkey/14294850323" TargetMode="External"/><Relationship Id="rId18" Type="http://schemas.openxmlformats.org/officeDocument/2006/relationships/hyperlink" Target="http://standartgost.ru/gost/by_pkey/14294850538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standartgost.ru/gost/by_pkey/14294852846" TargetMode="External"/><Relationship Id="rId7" Type="http://schemas.openxmlformats.org/officeDocument/2006/relationships/hyperlink" Target="http://standartgost.ru/gost/by_pkey/14294850536" TargetMode="External"/><Relationship Id="rId12" Type="http://schemas.openxmlformats.org/officeDocument/2006/relationships/hyperlink" Target="http://standartgost.ru/gost/by_pkey/14294831568" TargetMode="External"/><Relationship Id="rId17" Type="http://schemas.openxmlformats.org/officeDocument/2006/relationships/hyperlink" Target="http://standartgost.ru/gost/by_pkey/14294847015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standartgost.ru/gost/by_pkey/14294850323" TargetMode="External"/><Relationship Id="rId20" Type="http://schemas.openxmlformats.org/officeDocument/2006/relationships/hyperlink" Target="http://standartgost.ru/gost/by_pkey/14294850536" TargetMode="External"/><Relationship Id="rId1" Type="http://schemas.openxmlformats.org/officeDocument/2006/relationships/styles" Target="styles.xml"/><Relationship Id="rId6" Type="http://schemas.openxmlformats.org/officeDocument/2006/relationships/hyperlink" Target="http://standartgost.ru/gost/by_pkey/14294850537" TargetMode="External"/><Relationship Id="rId11" Type="http://schemas.openxmlformats.org/officeDocument/2006/relationships/hyperlink" Target="http://standartgost.ru/gost/by_pkey/14294852845" TargetMode="External"/><Relationship Id="rId24" Type="http://schemas.openxmlformats.org/officeDocument/2006/relationships/hyperlink" Target="http://standartgost.ru/gost/by_pkey/14294830947" TargetMode="External"/><Relationship Id="rId5" Type="http://schemas.openxmlformats.org/officeDocument/2006/relationships/hyperlink" Target="http://standartgost.ru/gost/by_pkey/14294850538" TargetMode="External"/><Relationship Id="rId15" Type="http://schemas.openxmlformats.org/officeDocument/2006/relationships/hyperlink" Target="http://standartgost.ru/gost/by_pkey/14294831568" TargetMode="External"/><Relationship Id="rId23" Type="http://schemas.openxmlformats.org/officeDocument/2006/relationships/hyperlink" Target="http://standartgost.ru/gost/by_pkey/14294852845" TargetMode="External"/><Relationship Id="rId10" Type="http://schemas.openxmlformats.org/officeDocument/2006/relationships/hyperlink" Target="http://standartgost.ru/gost/by_pkey/14294852845" TargetMode="External"/><Relationship Id="rId19" Type="http://schemas.openxmlformats.org/officeDocument/2006/relationships/hyperlink" Target="http://standartgost.ru/gost/by_pkey/14294850537" TargetMode="External"/><Relationship Id="rId4" Type="http://schemas.openxmlformats.org/officeDocument/2006/relationships/hyperlink" Target="http://standartgost.ru/g/%D0%93%D0%9E%D0%A1%D0%A2_22551-77" TargetMode="External"/><Relationship Id="rId9" Type="http://schemas.openxmlformats.org/officeDocument/2006/relationships/hyperlink" Target="http://standartgost.ru/gost/by_pkey/14294850534" TargetMode="External"/><Relationship Id="rId14" Type="http://schemas.openxmlformats.org/officeDocument/2006/relationships/hyperlink" Target="http://standartgost.ru/gost/by_pkey/14294847015" TargetMode="External"/><Relationship Id="rId22" Type="http://schemas.openxmlformats.org/officeDocument/2006/relationships/hyperlink" Target="http://standartgost.ru/gost/by_pkey/142948505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3072</Words>
  <Characters>17512</Characters>
  <Application>Microsoft Office Word</Application>
  <DocSecurity>0</DocSecurity>
  <Lines>145</Lines>
  <Paragraphs>41</Paragraphs>
  <ScaleCrop>false</ScaleCrop>
  <Company>SPecialiST RePack</Company>
  <LinksUpToDate>false</LinksUpToDate>
  <CharactersWithSpaces>20543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2015-04-05T10:34:00Z</dcterms:created>
  <dcterms:modified xsi:type="dcterms:W3CDTF">2015-04-05T10:41:00Z</dcterms:modified>
</cp:coreProperties>
</file>